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93E1E9" w14:textId="6FE739CE" w:rsidR="00700EF5" w:rsidRPr="00CE0424" w:rsidRDefault="00700EF5" w:rsidP="00700EF5">
      <w:pPr>
        <w:pStyle w:val="3GPPHeader"/>
        <w:spacing w:after="60"/>
        <w:rPr>
          <w:sz w:val="32"/>
          <w:szCs w:val="32"/>
          <w:highlight w:val="yellow"/>
        </w:rPr>
      </w:pPr>
      <w:bookmarkStart w:id="0" w:name="_GoBack"/>
      <w:bookmarkEnd w:id="0"/>
      <w:r w:rsidRPr="00CE0424">
        <w:t>3GPP TSG-RAN WG</w:t>
      </w:r>
      <w:r>
        <w:t>2</w:t>
      </w:r>
      <w:r w:rsidRPr="00CE0424">
        <w:t xml:space="preserve"> #</w:t>
      </w:r>
      <w:r>
        <w:t>99</w:t>
      </w:r>
      <w:r w:rsidR="00040B12">
        <w:t>bis</w:t>
      </w:r>
      <w:r w:rsidRPr="00CE0424">
        <w:tab/>
      </w:r>
      <w:r w:rsidRPr="00CE0424">
        <w:rPr>
          <w:sz w:val="32"/>
          <w:szCs w:val="32"/>
        </w:rPr>
        <w:t>Tdoc R2-1</w:t>
      </w:r>
      <w:r>
        <w:rPr>
          <w:sz w:val="32"/>
          <w:szCs w:val="32"/>
        </w:rPr>
        <w:t>7</w:t>
      </w:r>
      <w:r w:rsidR="00295F0B">
        <w:rPr>
          <w:sz w:val="32"/>
          <w:szCs w:val="32"/>
        </w:rPr>
        <w:t>11181</w:t>
      </w:r>
    </w:p>
    <w:p w14:paraId="3B4E81DC" w14:textId="77777777" w:rsidR="00700EF5" w:rsidRPr="00CE0424" w:rsidRDefault="00700EF5" w:rsidP="00700EF5">
      <w:pPr>
        <w:pStyle w:val="3GPPHeader"/>
      </w:pPr>
      <w:r w:rsidRPr="004A782B">
        <w:t xml:space="preserve">Prague, Czech Republic, </w:t>
      </w:r>
      <w:r>
        <w:t>9</w:t>
      </w:r>
      <w:r w:rsidRPr="004A782B">
        <w:rPr>
          <w:vertAlign w:val="superscript"/>
        </w:rPr>
        <w:t>th</w:t>
      </w:r>
      <w:r>
        <w:t xml:space="preserve"> </w:t>
      </w:r>
      <w:r w:rsidRPr="00631CA0">
        <w:t xml:space="preserve">– </w:t>
      </w:r>
      <w:r>
        <w:t>13</w:t>
      </w:r>
      <w:r w:rsidRPr="00631CA0">
        <w:rPr>
          <w:vertAlign w:val="superscript"/>
        </w:rPr>
        <w:t>th</w:t>
      </w:r>
      <w:r>
        <w:t xml:space="preserve"> October </w:t>
      </w:r>
      <w:r w:rsidRPr="00631CA0">
        <w:t>2017</w:t>
      </w:r>
    </w:p>
    <w:p w14:paraId="4DD8A312" w14:textId="77777777" w:rsidR="00E90E49" w:rsidRPr="00CE0424" w:rsidRDefault="00E90E49" w:rsidP="00357380">
      <w:pPr>
        <w:pStyle w:val="3GPPHeader"/>
      </w:pPr>
    </w:p>
    <w:p w14:paraId="0AF4D4B1" w14:textId="2D8B82FC" w:rsidR="00E90E49" w:rsidRPr="00772815" w:rsidRDefault="00E90E49" w:rsidP="00311702">
      <w:pPr>
        <w:pStyle w:val="3GPPHeader"/>
        <w:rPr>
          <w:sz w:val="22"/>
          <w:lang w:val="en-US"/>
        </w:rPr>
      </w:pPr>
      <w:r w:rsidRPr="00772815">
        <w:rPr>
          <w:sz w:val="22"/>
          <w:lang w:val="en-US"/>
        </w:rPr>
        <w:t>Agenda Item:</w:t>
      </w:r>
      <w:r w:rsidRPr="00772815">
        <w:rPr>
          <w:sz w:val="22"/>
          <w:lang w:val="en-US"/>
        </w:rPr>
        <w:tab/>
      </w:r>
      <w:r w:rsidR="00295F0B" w:rsidRPr="00772815">
        <w:rPr>
          <w:sz w:val="22"/>
          <w:lang w:val="en-US"/>
        </w:rPr>
        <w:t>10.3.1.6</w:t>
      </w:r>
    </w:p>
    <w:p w14:paraId="6D903409" w14:textId="77777777" w:rsidR="00E90E49" w:rsidRPr="00295F0B" w:rsidRDefault="003D3C45" w:rsidP="00F64C2B">
      <w:pPr>
        <w:pStyle w:val="3GPPHeader"/>
        <w:rPr>
          <w:sz w:val="22"/>
        </w:rPr>
      </w:pPr>
      <w:r w:rsidRPr="00295F0B">
        <w:rPr>
          <w:sz w:val="22"/>
        </w:rPr>
        <w:t>Source:</w:t>
      </w:r>
      <w:r w:rsidR="00E90E49" w:rsidRPr="00295F0B">
        <w:rPr>
          <w:sz w:val="22"/>
        </w:rPr>
        <w:tab/>
      </w:r>
      <w:r w:rsidR="00F64C2B" w:rsidRPr="00295F0B">
        <w:rPr>
          <w:sz w:val="22"/>
        </w:rPr>
        <w:t>Ericsson</w:t>
      </w:r>
    </w:p>
    <w:p w14:paraId="50291DC7" w14:textId="1B2459CA" w:rsidR="00E90E49" w:rsidRPr="00295F0B" w:rsidRDefault="003D3C45" w:rsidP="00311702">
      <w:pPr>
        <w:pStyle w:val="3GPPHeader"/>
        <w:rPr>
          <w:sz w:val="22"/>
        </w:rPr>
      </w:pPr>
      <w:r w:rsidRPr="00295F0B">
        <w:rPr>
          <w:sz w:val="22"/>
        </w:rPr>
        <w:t>Title:</w:t>
      </w:r>
      <w:r w:rsidR="00E90E49" w:rsidRPr="00295F0B">
        <w:rPr>
          <w:sz w:val="22"/>
        </w:rPr>
        <w:tab/>
      </w:r>
      <w:r w:rsidR="00295F0B" w:rsidRPr="00295F0B">
        <w:rPr>
          <w:sz w:val="22"/>
        </w:rPr>
        <w:t>Aspects of BSR format and tables</w:t>
      </w:r>
    </w:p>
    <w:p w14:paraId="54683355" w14:textId="16EC420E" w:rsidR="00E90E49" w:rsidRDefault="00E90E49" w:rsidP="00D546FF">
      <w:pPr>
        <w:pStyle w:val="3GPPHeader"/>
        <w:rPr>
          <w:sz w:val="22"/>
        </w:rPr>
      </w:pPr>
      <w:r w:rsidRPr="00295F0B">
        <w:rPr>
          <w:sz w:val="22"/>
        </w:rPr>
        <w:t>Document for:</w:t>
      </w:r>
      <w:r w:rsidRPr="00295F0B">
        <w:rPr>
          <w:sz w:val="22"/>
        </w:rPr>
        <w:tab/>
        <w:t>Discussion, Decision</w:t>
      </w:r>
    </w:p>
    <w:p w14:paraId="00AED64D" w14:textId="77777777" w:rsidR="00485624" w:rsidRDefault="00485624" w:rsidP="00D546FF">
      <w:pPr>
        <w:pStyle w:val="3GPPHeader"/>
        <w:rPr>
          <w:sz w:val="22"/>
        </w:rPr>
      </w:pPr>
    </w:p>
    <w:p w14:paraId="03CF2DA4" w14:textId="77777777" w:rsidR="00295F0B" w:rsidRDefault="00295F0B" w:rsidP="00295F0B">
      <w:pPr>
        <w:pStyle w:val="Heading1"/>
        <w:numPr>
          <w:ilvl w:val="0"/>
          <w:numId w:val="16"/>
        </w:numPr>
        <w:textAlignment w:val="auto"/>
      </w:pPr>
      <w:r>
        <w:t>Introduction</w:t>
      </w:r>
    </w:p>
    <w:p w14:paraId="3E168F46" w14:textId="77777777" w:rsidR="00295F0B" w:rsidRDefault="00295F0B" w:rsidP="00295F0B">
      <w:r>
        <w:rPr>
          <w:bCs/>
          <w:lang w:val="en-US"/>
        </w:rPr>
        <w:t xml:space="preserve">Uplink scheduling is a key functionality </w:t>
      </w:r>
      <w:r w:rsidRPr="00821AB7">
        <w:rPr>
          <w:bCs/>
          <w:lang w:val="en-US"/>
        </w:rPr>
        <w:t>to meet a broad range of use cases including enhanced mobile broadband, massive MTC, critical MTC, and additional requirements defined during the RAN requirements study</w:t>
      </w:r>
      <w:r>
        <w:rPr>
          <w:bCs/>
          <w:lang w:val="en-US"/>
        </w:rPr>
        <w:t>. Details to how this functionality can be designed, compared to the baseline framework of LTE</w:t>
      </w:r>
      <w:r w:rsidRPr="00821AB7">
        <w:rPr>
          <w:bCs/>
          <w:lang w:val="en-US"/>
        </w:rPr>
        <w:t xml:space="preserve"> </w:t>
      </w:r>
      <w:r>
        <w:rPr>
          <w:bCs/>
          <w:lang w:val="en-US"/>
        </w:rPr>
        <w:t xml:space="preserve">is discussed in contributions. </w:t>
      </w:r>
    </w:p>
    <w:p w14:paraId="02833EB9" w14:textId="04858D12" w:rsidR="00295F0B" w:rsidRPr="00F3550D" w:rsidRDefault="00295F0B" w:rsidP="00295F0B">
      <w:pPr>
        <w:rPr>
          <w:bCs/>
        </w:rPr>
      </w:pPr>
      <w:r>
        <w:rPr>
          <w:bCs/>
          <w:lang w:val="en-US"/>
        </w:rPr>
        <w:t>In RAN2#99</w:t>
      </w:r>
      <w:r w:rsidRPr="00F3550D">
        <w:rPr>
          <w:bCs/>
          <w:lang w:val="en-US"/>
        </w:rPr>
        <w:t xml:space="preserve"> some agreements related to </w:t>
      </w:r>
      <w:r>
        <w:rPr>
          <w:bCs/>
          <w:lang w:val="en-US"/>
        </w:rPr>
        <w:t>B</w:t>
      </w:r>
      <w:r w:rsidRPr="00F3550D">
        <w:rPr>
          <w:bCs/>
        </w:rPr>
        <w:t xml:space="preserve">SR were reached. </w:t>
      </w:r>
    </w:p>
    <w:p w14:paraId="000A02A6" w14:textId="77777777" w:rsidR="00295F0B" w:rsidRDefault="00295F0B" w:rsidP="00295F0B">
      <w:pPr>
        <w:pStyle w:val="Doc-text2"/>
        <w:pBdr>
          <w:top w:val="single" w:sz="4" w:space="1" w:color="auto"/>
          <w:left w:val="single" w:sz="4" w:space="4" w:color="auto"/>
          <w:bottom w:val="single" w:sz="4" w:space="1" w:color="auto"/>
          <w:right w:val="single" w:sz="4" w:space="4" w:color="auto"/>
        </w:pBdr>
      </w:pPr>
      <w:r>
        <w:t>Agreements</w:t>
      </w:r>
    </w:p>
    <w:p w14:paraId="1B1439B4" w14:textId="77777777" w:rsidR="00295F0B" w:rsidRDefault="00295F0B" w:rsidP="00295F0B">
      <w:pPr>
        <w:pStyle w:val="Doc-text2"/>
        <w:numPr>
          <w:ilvl w:val="0"/>
          <w:numId w:val="17"/>
        </w:numPr>
        <w:pBdr>
          <w:top w:val="single" w:sz="4" w:space="1" w:color="auto"/>
          <w:left w:val="single" w:sz="4" w:space="4" w:color="auto"/>
          <w:bottom w:val="single" w:sz="4" w:space="1" w:color="auto"/>
          <w:right w:val="single" w:sz="4" w:space="4" w:color="auto"/>
        </w:pBdr>
      </w:pPr>
      <w:r w:rsidRPr="00BC5245">
        <w:t>3 types of BSRs including Regular BSR, Periodic BSR and Padding BSR</w:t>
      </w:r>
    </w:p>
    <w:p w14:paraId="71F67CFB" w14:textId="77777777" w:rsidR="00295F0B" w:rsidRDefault="00295F0B" w:rsidP="00295F0B">
      <w:pPr>
        <w:pStyle w:val="Doc-text2"/>
        <w:numPr>
          <w:ilvl w:val="0"/>
          <w:numId w:val="17"/>
        </w:numPr>
        <w:pBdr>
          <w:top w:val="single" w:sz="4" w:space="1" w:color="auto"/>
          <w:left w:val="single" w:sz="4" w:space="4" w:color="auto"/>
          <w:bottom w:val="single" w:sz="4" w:space="1" w:color="auto"/>
          <w:right w:val="single" w:sz="4" w:space="4" w:color="auto"/>
        </w:pBdr>
      </w:pPr>
      <w:r w:rsidRPr="00295F0B">
        <w:rPr>
          <w:highlight w:val="yellow"/>
        </w:rPr>
        <w:t>Short BSR format of one byte is supported</w:t>
      </w:r>
      <w:r>
        <w:t xml:space="preserve">.  </w:t>
      </w:r>
      <w:r w:rsidRPr="00576B4D">
        <w:rPr>
          <w:highlight w:val="yellow"/>
        </w:rPr>
        <w:t>Truncated BSR format of 1 byte is at least supported.</w:t>
      </w:r>
      <w:r>
        <w:t xml:space="preserve">  Details are FFS</w:t>
      </w:r>
    </w:p>
    <w:p w14:paraId="1825AD2C" w14:textId="77777777" w:rsidR="00295F0B" w:rsidRPr="00295F0B" w:rsidRDefault="00295F0B" w:rsidP="00295F0B">
      <w:pPr>
        <w:pStyle w:val="Doc-text2"/>
        <w:numPr>
          <w:ilvl w:val="0"/>
          <w:numId w:val="17"/>
        </w:numPr>
        <w:pBdr>
          <w:top w:val="single" w:sz="4" w:space="1" w:color="auto"/>
          <w:left w:val="single" w:sz="4" w:space="4" w:color="auto"/>
          <w:bottom w:val="single" w:sz="4" w:space="1" w:color="auto"/>
          <w:right w:val="single" w:sz="4" w:space="4" w:color="auto"/>
        </w:pBdr>
        <w:rPr>
          <w:highlight w:val="yellow"/>
        </w:rPr>
      </w:pPr>
      <w:r w:rsidRPr="00295F0B">
        <w:rPr>
          <w:highlight w:val="yellow"/>
        </w:rPr>
        <w:t>FFS on BS size and table</w:t>
      </w:r>
    </w:p>
    <w:p w14:paraId="78713624" w14:textId="77777777" w:rsidR="00295F0B" w:rsidRDefault="00295F0B" w:rsidP="00295F0B">
      <w:pPr>
        <w:pStyle w:val="Doc-text2"/>
        <w:numPr>
          <w:ilvl w:val="0"/>
          <w:numId w:val="17"/>
        </w:numPr>
        <w:pBdr>
          <w:top w:val="single" w:sz="4" w:space="1" w:color="auto"/>
          <w:left w:val="single" w:sz="4" w:space="4" w:color="auto"/>
          <w:bottom w:val="single" w:sz="4" w:space="1" w:color="auto"/>
          <w:right w:val="single" w:sz="4" w:space="4" w:color="auto"/>
        </w:pBdr>
      </w:pPr>
      <w:r w:rsidRPr="003E5FE8">
        <w:rPr>
          <w:highlight w:val="yellow"/>
        </w:rPr>
        <w:t>Flexible Long BSR format will be supported.  The number of LCGs to report is decided before the PDU is constructed.  BS information is the BS status after LCP.   BS of 0 for some LCG can be reported.</w:t>
      </w:r>
      <w:r>
        <w:t xml:space="preserve">  </w:t>
      </w:r>
    </w:p>
    <w:p w14:paraId="2A36F605" w14:textId="77777777" w:rsidR="00295F0B" w:rsidRPr="00E257B6" w:rsidRDefault="00295F0B" w:rsidP="00295F0B">
      <w:pPr>
        <w:pStyle w:val="Doc-text2"/>
        <w:numPr>
          <w:ilvl w:val="0"/>
          <w:numId w:val="17"/>
        </w:numPr>
        <w:pBdr>
          <w:top w:val="single" w:sz="4" w:space="1" w:color="auto"/>
          <w:left w:val="single" w:sz="4" w:space="4" w:color="auto"/>
          <w:bottom w:val="single" w:sz="4" w:space="1" w:color="auto"/>
          <w:right w:val="single" w:sz="4" w:space="4" w:color="auto"/>
        </w:pBdr>
      </w:pPr>
      <w:r>
        <w:t>BSR cancelation are FFS</w:t>
      </w:r>
    </w:p>
    <w:p w14:paraId="1988E9DF" w14:textId="77777777" w:rsidR="00295F0B" w:rsidRDefault="00295F0B" w:rsidP="00295F0B">
      <w:pPr>
        <w:pStyle w:val="Doc-text2"/>
        <w:pBdr>
          <w:top w:val="single" w:sz="4" w:space="1" w:color="auto"/>
          <w:left w:val="single" w:sz="4" w:space="4" w:color="auto"/>
          <w:bottom w:val="single" w:sz="4" w:space="1" w:color="auto"/>
          <w:right w:val="single" w:sz="4" w:space="4" w:color="auto"/>
        </w:pBdr>
      </w:pPr>
    </w:p>
    <w:p w14:paraId="3480D180" w14:textId="77777777" w:rsidR="00295F0B" w:rsidRDefault="00295F0B" w:rsidP="00295F0B">
      <w:pPr>
        <w:pStyle w:val="Header"/>
        <w:rPr>
          <w:b w:val="0"/>
          <w:bCs w:val="0"/>
          <w:sz w:val="20"/>
        </w:rPr>
      </w:pPr>
    </w:p>
    <w:p w14:paraId="4CF1EBE6" w14:textId="37B108D2" w:rsidR="00295F0B" w:rsidRPr="008C5807" w:rsidRDefault="00295F0B" w:rsidP="00295F0B">
      <w:r>
        <w:t>Considering the above agreements</w:t>
      </w:r>
      <w:r w:rsidRPr="008C5807">
        <w:t xml:space="preserve">, this contribution </w:t>
      </w:r>
      <w:r>
        <w:t>addresses the FFSs for long and truncated BSR formats and how to construct the BS tables</w:t>
      </w:r>
      <w:r w:rsidRPr="008C5807">
        <w:t>.</w:t>
      </w:r>
    </w:p>
    <w:p w14:paraId="10E497F7" w14:textId="6659E0C4" w:rsidR="00295F0B" w:rsidRPr="00295F0B" w:rsidRDefault="00295F0B" w:rsidP="00295F0B">
      <w:pPr>
        <w:pStyle w:val="Heading1"/>
        <w:numPr>
          <w:ilvl w:val="0"/>
          <w:numId w:val="16"/>
        </w:numPr>
        <w:textAlignment w:val="auto"/>
      </w:pPr>
      <w:r>
        <w:t>BSR formats</w:t>
      </w:r>
    </w:p>
    <w:p w14:paraId="5A304AF5" w14:textId="77777777" w:rsidR="00295F0B" w:rsidRDefault="00295F0B" w:rsidP="00295F0B">
      <w:pPr>
        <w:pStyle w:val="Heading2"/>
      </w:pPr>
      <w:bookmarkStart w:id="1" w:name="_Toc489623483"/>
      <w:bookmarkEnd w:id="1"/>
      <w:r>
        <w:t>Long BSR format</w:t>
      </w:r>
    </w:p>
    <w:p w14:paraId="09B884D4" w14:textId="77777777" w:rsidR="00295F0B" w:rsidRPr="004D7A93" w:rsidRDefault="00295F0B" w:rsidP="00295F0B">
      <w:pPr>
        <w:pStyle w:val="BodyText"/>
      </w:pPr>
      <w:r>
        <w:t>We present two variants for the Long BSR format, the baseline variant, and the improved variant.</w:t>
      </w:r>
    </w:p>
    <w:p w14:paraId="06CC7B1B" w14:textId="77777777" w:rsidR="00295F0B" w:rsidRPr="004D7A93" w:rsidRDefault="00295F0B" w:rsidP="00295F0B">
      <w:pPr>
        <w:pStyle w:val="Heading3"/>
      </w:pPr>
      <w:r>
        <w:t>Baseline variant</w:t>
      </w:r>
    </w:p>
    <w:p w14:paraId="6D9B7639" w14:textId="77777777" w:rsidR="00295F0B" w:rsidRDefault="00295F0B" w:rsidP="00295F0B">
      <w:r>
        <w:t>Compared to LTE it is noted that 6 bits may not be sufficient to convey a buffer status with the granularity required for the wide range of services expected to be support by NR. The prime targets of NR include extreme MBB rates (10 Gbps), but also much lower rates e.g. from less extreme MBB or URLLC, and moreover an increased mix of high and low rate services. This could make the buffer sizes for the different LCGs to change rapidly and an increased granularity of the buffer sizes would be of great benefit for the scheduler. One way</w:t>
      </w:r>
      <w:r w:rsidRPr="0075520D">
        <w:t xml:space="preserve"> to encode such granularity would be to byte-align the fi</w:t>
      </w:r>
      <w:r>
        <w:t>elds and thereby simply extend</w:t>
      </w:r>
      <w:r w:rsidRPr="0075520D">
        <w:t xml:space="preserve"> </w:t>
      </w:r>
      <w:r w:rsidRPr="0075520D">
        <w:lastRenderedPageBreak/>
        <w:t>the size of the Buffer Status field to 8 bits</w:t>
      </w:r>
      <w:r>
        <w:t xml:space="preserve">. For the long BSR format, it is suggested to increase BS field to 8 bits. </w:t>
      </w:r>
    </w:p>
    <w:p w14:paraId="00136A7D" w14:textId="77777777" w:rsidR="00295F0B" w:rsidRPr="008B26F5" w:rsidRDefault="00295F0B" w:rsidP="00485624">
      <w:pPr>
        <w:pStyle w:val="Observation"/>
      </w:pPr>
      <w:bookmarkStart w:id="2" w:name="_Toc490215234"/>
      <w:bookmarkStart w:id="3" w:name="_Toc490215461"/>
      <w:bookmarkStart w:id="4" w:name="_Toc490230617"/>
      <w:bookmarkStart w:id="5" w:name="_Toc490223932"/>
      <w:bookmarkStart w:id="6" w:name="_Toc490230630"/>
      <w:bookmarkStart w:id="7" w:name="_Toc492538385"/>
      <w:bookmarkStart w:id="8" w:name="_Toc493514008"/>
      <w:bookmarkStart w:id="9" w:name="_Toc494127703"/>
      <w:bookmarkStart w:id="10" w:name="_Toc494286098"/>
      <w:bookmarkStart w:id="11" w:name="_Toc494287621"/>
      <w:bookmarkStart w:id="12" w:name="_Toc494291616"/>
      <w:bookmarkStart w:id="13" w:name="_Toc494371321"/>
      <w:bookmarkStart w:id="14" w:name="_Toc494371339"/>
      <w:bookmarkStart w:id="15" w:name="_Toc494371361"/>
      <w:bookmarkStart w:id="16" w:name="_Toc494372120"/>
      <w:bookmarkStart w:id="17" w:name="_Toc494372138"/>
      <w:bookmarkStart w:id="18" w:name="_Toc494394501"/>
      <w:bookmarkStart w:id="19" w:name="_Toc490216258"/>
      <w:r w:rsidRPr="00DB4968">
        <w:rPr>
          <w:lang w:val="en-US"/>
        </w:rPr>
        <w:t>The long BSR</w:t>
      </w:r>
      <w:r>
        <w:rPr>
          <w:lang w:val="en-US"/>
        </w:rPr>
        <w:t xml:space="preserve"> format (baseline variant)</w:t>
      </w:r>
      <w:r w:rsidRPr="00DB4968">
        <w:rPr>
          <w:lang w:val="en-US"/>
        </w:rPr>
        <w:t xml:space="preserve"> has a 1 byte BS field</w:t>
      </w:r>
      <w:r>
        <w:rPr>
          <w:lang w:val="en-US"/>
        </w:rPr>
        <w:t xml:space="preserve"> for each reported LCG ID</w:t>
      </w:r>
      <w:bookmarkEnd w:id="2"/>
      <w:bookmarkEnd w:id="3"/>
      <w:bookmarkEnd w:id="4"/>
      <w:bookmarkEnd w:id="5"/>
      <w:bookmarkEnd w:id="6"/>
      <w:bookmarkEnd w:id="7"/>
      <w:bookmarkEnd w:id="8"/>
      <w:r>
        <w:rPr>
          <w:lang w:val="en-US"/>
        </w:rPr>
        <w:t>.</w:t>
      </w:r>
      <w:bookmarkEnd w:id="9"/>
      <w:bookmarkEnd w:id="10"/>
      <w:bookmarkEnd w:id="11"/>
      <w:bookmarkEnd w:id="12"/>
      <w:bookmarkEnd w:id="13"/>
      <w:bookmarkEnd w:id="14"/>
      <w:bookmarkEnd w:id="15"/>
      <w:bookmarkEnd w:id="16"/>
      <w:bookmarkEnd w:id="17"/>
      <w:bookmarkEnd w:id="18"/>
    </w:p>
    <w:bookmarkEnd w:id="19"/>
    <w:p w14:paraId="03E8E19B" w14:textId="77777777" w:rsidR="00295F0B" w:rsidRDefault="00295F0B" w:rsidP="00295F0B">
      <w:r>
        <w:rPr>
          <w:noProof/>
        </w:rPr>
        <w:t>Following the same design principles as in LTE, the long BSR format in NR would be like what is shown in Figure 3 where BS is always reported for all 8 logical channels.</w:t>
      </w:r>
    </w:p>
    <w:p w14:paraId="1823A086" w14:textId="77777777" w:rsidR="00295F0B" w:rsidRDefault="00295F0B" w:rsidP="00295F0B">
      <w:pPr>
        <w:jc w:val="center"/>
      </w:pPr>
      <w:r>
        <w:rPr>
          <w:noProof/>
        </w:rPr>
        <w:drawing>
          <wp:inline distT="0" distB="0" distL="0" distR="0" wp14:anchorId="071D5AD1" wp14:editId="0C31A57F">
            <wp:extent cx="2676525" cy="2076450"/>
            <wp:effectExtent l="0" t="0" r="0" b="0"/>
            <wp:docPr id="6" name="Picture 6"/>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76525" cy="2076450"/>
                    </a:xfrm>
                    <a:prstGeom prst="rect">
                      <a:avLst/>
                    </a:prstGeom>
                    <a:noFill/>
                    <a:ln>
                      <a:noFill/>
                    </a:ln>
                  </pic:spPr>
                </pic:pic>
              </a:graphicData>
            </a:graphic>
          </wp:inline>
        </w:drawing>
      </w:r>
    </w:p>
    <w:p w14:paraId="29D1F211" w14:textId="77777777" w:rsidR="00295F0B" w:rsidRDefault="00295F0B" w:rsidP="00295F0B">
      <w:pPr>
        <w:pStyle w:val="Caption"/>
      </w:pPr>
      <w:r>
        <w:t>Figure 3. Long BSR format (baseline variant)</w:t>
      </w:r>
    </w:p>
    <w:p w14:paraId="76403F19" w14:textId="77777777" w:rsidR="00295F0B" w:rsidRDefault="00295F0B" w:rsidP="00485624">
      <w:pPr>
        <w:pStyle w:val="Observation"/>
      </w:pPr>
      <w:bookmarkStart w:id="20" w:name="_Toc494127704"/>
      <w:bookmarkStart w:id="21" w:name="_Toc494286099"/>
      <w:bookmarkStart w:id="22" w:name="_Toc494287622"/>
      <w:bookmarkStart w:id="23" w:name="_Toc494291617"/>
      <w:bookmarkStart w:id="24" w:name="_Toc494371322"/>
      <w:bookmarkStart w:id="25" w:name="_Toc494371340"/>
      <w:bookmarkStart w:id="26" w:name="_Toc494371362"/>
      <w:bookmarkStart w:id="27" w:name="_Toc494372121"/>
      <w:bookmarkStart w:id="28" w:name="_Toc494372139"/>
      <w:bookmarkStart w:id="29" w:name="_Toc494394502"/>
      <w:r>
        <w:t>The long BSR format (baseline variant) consists of one BS field for all 8 LCGs.</w:t>
      </w:r>
      <w:bookmarkEnd w:id="20"/>
      <w:bookmarkEnd w:id="21"/>
      <w:bookmarkEnd w:id="22"/>
      <w:bookmarkEnd w:id="23"/>
      <w:bookmarkEnd w:id="24"/>
      <w:bookmarkEnd w:id="25"/>
      <w:bookmarkEnd w:id="26"/>
      <w:bookmarkEnd w:id="27"/>
      <w:bookmarkEnd w:id="28"/>
      <w:bookmarkEnd w:id="29"/>
    </w:p>
    <w:p w14:paraId="19C1904E" w14:textId="77777777" w:rsidR="00295F0B" w:rsidRDefault="00295F0B" w:rsidP="00295F0B">
      <w:r>
        <w:t>It is unlikely that all LCGs will be configured which means that most often the BSR introduces overhead which may become problematic.  This is addressed in the improved variant.</w:t>
      </w:r>
    </w:p>
    <w:p w14:paraId="31C9BB4E" w14:textId="77777777" w:rsidR="00295F0B" w:rsidRDefault="00295F0B" w:rsidP="00295F0B">
      <w:pPr>
        <w:pStyle w:val="Heading3"/>
      </w:pPr>
      <w:r>
        <w:t>Improved variant</w:t>
      </w:r>
    </w:p>
    <w:p w14:paraId="2323774E" w14:textId="77777777" w:rsidR="00295F0B" w:rsidRDefault="00295F0B" w:rsidP="00295F0B">
      <w:r>
        <w:t>It has been agreed at RAN2#99 that NR supports a flexible long BSR format, i.e. a long BSR format with varying length. The agreement was based on the fact that the static long BSR format always comprising 8 LCGs may lead to a risk of unnecessary BSR overhead. Considering UEs may have different number of active services/LCHs, NR shall allow the number of LCGs to be configured per UE. Even for the same UE, the number of active services/LCHs may change from time to time. In this way, UEs are not required to be always configured with up to 8 LCGs. Then, a UE only report buffer status for its configured LCGs, which would be less than 8 LCGs, most of the time. The size of a long BSR may be different between UEs. Compared to the baseline variant there is no need to change the size of the BS field.</w:t>
      </w:r>
    </w:p>
    <w:p w14:paraId="22A4A841" w14:textId="77777777" w:rsidR="00295F0B" w:rsidRDefault="00295F0B" w:rsidP="00295F0B">
      <w:r>
        <w:t>Therefore, we suggest</w:t>
      </w:r>
    </w:p>
    <w:p w14:paraId="21D792F1" w14:textId="77777777" w:rsidR="00295F0B" w:rsidRDefault="00295F0B" w:rsidP="00485624">
      <w:pPr>
        <w:pStyle w:val="Observation"/>
      </w:pPr>
      <w:bookmarkStart w:id="30" w:name="_Toc494127705"/>
      <w:bookmarkStart w:id="31" w:name="_Toc494286100"/>
      <w:bookmarkStart w:id="32" w:name="_Toc494287623"/>
      <w:bookmarkStart w:id="33" w:name="_Toc494291618"/>
      <w:bookmarkStart w:id="34" w:name="_Toc494371323"/>
      <w:bookmarkStart w:id="35" w:name="_Toc494371341"/>
      <w:bookmarkStart w:id="36" w:name="_Toc494371363"/>
      <w:bookmarkStart w:id="37" w:name="_Toc494372122"/>
      <w:bookmarkStart w:id="38" w:name="_Toc494372140"/>
      <w:bookmarkStart w:id="39" w:name="_Toc494394503"/>
      <w:r w:rsidRPr="00E12337">
        <w:rPr>
          <w:lang w:val="en-US"/>
        </w:rPr>
        <w:t>The long BSR format (improved variant) has a 1 byte BS field for each reported LCG ID.</w:t>
      </w:r>
      <w:bookmarkEnd w:id="30"/>
      <w:bookmarkEnd w:id="31"/>
      <w:bookmarkEnd w:id="32"/>
      <w:bookmarkEnd w:id="33"/>
      <w:bookmarkEnd w:id="34"/>
      <w:bookmarkEnd w:id="35"/>
      <w:bookmarkEnd w:id="36"/>
      <w:bookmarkEnd w:id="37"/>
      <w:bookmarkEnd w:id="38"/>
      <w:bookmarkEnd w:id="39"/>
    </w:p>
    <w:p w14:paraId="662CEC68" w14:textId="77777777" w:rsidR="00295F0B" w:rsidRPr="008B26F5" w:rsidRDefault="00295F0B" w:rsidP="00485624">
      <w:pPr>
        <w:pStyle w:val="Observation"/>
      </w:pPr>
      <w:bookmarkStart w:id="40" w:name="_Toc489623487"/>
      <w:bookmarkStart w:id="41" w:name="_Toc490212006"/>
      <w:bookmarkStart w:id="42" w:name="_Toc490213982"/>
      <w:bookmarkStart w:id="43" w:name="_Toc490215235"/>
      <w:bookmarkStart w:id="44" w:name="_Toc490215462"/>
      <w:bookmarkStart w:id="45" w:name="_Toc490216259"/>
      <w:bookmarkStart w:id="46" w:name="_Toc490223933"/>
      <w:bookmarkStart w:id="47" w:name="_Toc490230618"/>
      <w:bookmarkStart w:id="48" w:name="_Toc490230631"/>
      <w:bookmarkStart w:id="49" w:name="_Toc492538386"/>
      <w:bookmarkStart w:id="50" w:name="_Toc493514009"/>
      <w:bookmarkStart w:id="51" w:name="_Toc494127706"/>
      <w:bookmarkStart w:id="52" w:name="_Toc494286101"/>
      <w:bookmarkStart w:id="53" w:name="_Toc494287624"/>
      <w:bookmarkStart w:id="54" w:name="_Toc494291619"/>
      <w:bookmarkStart w:id="55" w:name="_Toc494371324"/>
      <w:bookmarkStart w:id="56" w:name="_Toc494371342"/>
      <w:bookmarkStart w:id="57" w:name="_Toc494371364"/>
      <w:bookmarkStart w:id="58" w:name="_Toc494372123"/>
      <w:bookmarkStart w:id="59" w:name="_Toc494372141"/>
      <w:bookmarkStart w:id="60" w:name="_Toc494394504"/>
      <w:r w:rsidRPr="00E12337">
        <w:rPr>
          <w:lang w:val="en-US"/>
        </w:rPr>
        <w:t>The long BSR format (improved variant) consists of one BS field per configured LCG in the MAC entity.</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64764F36" w14:textId="77777777" w:rsidR="00295F0B" w:rsidRPr="009770FD" w:rsidRDefault="00295F0B" w:rsidP="00295F0B">
      <w:r>
        <w:t>As the length of the improved variant varies an L-field must be added to the subheader as shown in Figure 4.</w:t>
      </w:r>
    </w:p>
    <w:p w14:paraId="29C9A701" w14:textId="77777777" w:rsidR="00295F0B" w:rsidRDefault="00295F0B" w:rsidP="00295F0B">
      <w:pPr>
        <w:jc w:val="center"/>
      </w:pPr>
      <w:r>
        <w:rPr>
          <w:noProof/>
        </w:rPr>
        <w:lastRenderedPageBreak/>
        <w:drawing>
          <wp:inline distT="0" distB="0" distL="0" distR="0" wp14:anchorId="67A6BAFF" wp14:editId="0260BBE1">
            <wp:extent cx="4785907" cy="15811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92151" cy="1583213"/>
                    </a:xfrm>
                    <a:prstGeom prst="rect">
                      <a:avLst/>
                    </a:prstGeom>
                    <a:noFill/>
                  </pic:spPr>
                </pic:pic>
              </a:graphicData>
            </a:graphic>
          </wp:inline>
        </w:drawing>
      </w:r>
    </w:p>
    <w:p w14:paraId="3818A9C8" w14:textId="77777777" w:rsidR="00295F0B" w:rsidRDefault="00295F0B" w:rsidP="00295F0B">
      <w:pPr>
        <w:pStyle w:val="Caption"/>
      </w:pPr>
      <w:r w:rsidRPr="00DC5570">
        <w:rPr>
          <w:lang w:val="en-US"/>
        </w:rPr>
        <w:t xml:space="preserve"> </w:t>
      </w:r>
      <w:r>
        <w:t>Figure 4. Formats of the MAC subhead and the long BSR (improved variant)</w:t>
      </w:r>
    </w:p>
    <w:p w14:paraId="25361E06" w14:textId="77777777" w:rsidR="00295F0B" w:rsidRDefault="00295F0B" w:rsidP="00295F0B">
      <w:r>
        <w:t>As the improved variant provides a shorter long BSR format for almost all cases (only when 8 LCGs are configured would the baseline variant be better) we think RAN2 should adopt it as the format of the long BSR.</w:t>
      </w:r>
    </w:p>
    <w:p w14:paraId="282A80C8" w14:textId="7010950A" w:rsidR="00295F0B" w:rsidRPr="00E12337" w:rsidRDefault="00485624" w:rsidP="00295F0B">
      <w:pPr>
        <w:pStyle w:val="Proposal"/>
      </w:pPr>
      <w:bookmarkStart w:id="61" w:name="_Toc494286102"/>
      <w:bookmarkStart w:id="62" w:name="_Toc494287625"/>
      <w:bookmarkStart w:id="63" w:name="_Toc494291620"/>
      <w:bookmarkStart w:id="64" w:name="_Toc494371325"/>
      <w:bookmarkStart w:id="65" w:name="_Toc494371343"/>
      <w:bookmarkStart w:id="66" w:name="_Toc494371365"/>
      <w:bookmarkStart w:id="67" w:name="_Toc494372126"/>
      <w:bookmarkStart w:id="68" w:name="_Toc494372207"/>
      <w:bookmarkStart w:id="69" w:name="_Toc494372218"/>
      <w:bookmarkStart w:id="70" w:name="_Toc494394507"/>
      <w:r>
        <w:t>The long BSR format consists of a list of 1-byte BS fields, one per configured LCG in the MAC entity.</w:t>
      </w:r>
      <w:bookmarkEnd w:id="61"/>
      <w:bookmarkEnd w:id="62"/>
      <w:bookmarkEnd w:id="63"/>
      <w:bookmarkEnd w:id="64"/>
      <w:bookmarkEnd w:id="65"/>
      <w:bookmarkEnd w:id="66"/>
      <w:bookmarkEnd w:id="67"/>
      <w:bookmarkEnd w:id="68"/>
      <w:bookmarkEnd w:id="69"/>
      <w:bookmarkEnd w:id="70"/>
    </w:p>
    <w:p w14:paraId="019B3FC4" w14:textId="77777777" w:rsidR="00295F0B" w:rsidRPr="00830A45" w:rsidRDefault="00295F0B" w:rsidP="00295F0B">
      <w:pPr>
        <w:pStyle w:val="Heading2"/>
      </w:pPr>
      <w:r>
        <w:t xml:space="preserve">Truncated BSR </w:t>
      </w:r>
      <w:r w:rsidDel="00AC6633">
        <w:t>format</w:t>
      </w:r>
    </w:p>
    <w:p w14:paraId="3BEA0424" w14:textId="77777777" w:rsidR="00295F0B" w:rsidDel="00A079CE" w:rsidRDefault="00295F0B" w:rsidP="00295F0B">
      <w:r>
        <w:t xml:space="preserve">In LTE, the truncated BSR carries only the BS information of the LCG with the highest priority logical channel using 1-byte short BSR format. We shall apply the same rule for NR.  </w:t>
      </w:r>
    </w:p>
    <w:p w14:paraId="1BADACED" w14:textId="1C94A9F6" w:rsidR="00295F0B" w:rsidRDefault="00295F0B" w:rsidP="00295F0B">
      <w:pPr>
        <w:pStyle w:val="Proposal"/>
      </w:pPr>
      <w:bookmarkStart w:id="71" w:name="_Toc494286103"/>
      <w:bookmarkStart w:id="72" w:name="_Toc494287626"/>
      <w:bookmarkStart w:id="73" w:name="_Toc494291621"/>
      <w:bookmarkStart w:id="74" w:name="_Toc494371326"/>
      <w:bookmarkStart w:id="75" w:name="_Toc494371344"/>
      <w:bookmarkStart w:id="76" w:name="_Toc494371366"/>
      <w:bookmarkStart w:id="77" w:name="_Toc494372127"/>
      <w:bookmarkStart w:id="78" w:name="_Toc494372208"/>
      <w:bookmarkStart w:id="79" w:name="_Toc494372219"/>
      <w:bookmarkStart w:id="80" w:name="_Toc494394508"/>
      <w:bookmarkStart w:id="81" w:name="_Toc487448859"/>
      <w:bookmarkStart w:id="82" w:name="_Toc487451230"/>
      <w:bookmarkStart w:id="83" w:name="_Toc487458427"/>
      <w:bookmarkStart w:id="84" w:name="_Toc487467204"/>
      <w:bookmarkStart w:id="85" w:name="_Toc489623488"/>
      <w:bookmarkStart w:id="86" w:name="_Toc490212007"/>
      <w:bookmarkStart w:id="87" w:name="_Toc490213983"/>
      <w:bookmarkStart w:id="88" w:name="_Toc490215236"/>
      <w:bookmarkStart w:id="89" w:name="_Toc490215463"/>
      <w:bookmarkStart w:id="90" w:name="_Toc490216260"/>
      <w:bookmarkStart w:id="91" w:name="_Toc490223934"/>
      <w:bookmarkStart w:id="92" w:name="_Toc490230619"/>
      <w:bookmarkStart w:id="93" w:name="_Toc490230632"/>
      <w:bookmarkStart w:id="94" w:name="_Toc492538387"/>
      <w:bookmarkStart w:id="95" w:name="_Toc493514010"/>
      <w:bookmarkStart w:id="96" w:name="_Toc494127708"/>
      <w:r>
        <w:t>As in LTE, the truncated BSR carries only the BS information of the LCG with the highest priority logical channel using 1-byte short BSR format</w:t>
      </w:r>
      <w:bookmarkEnd w:id="71"/>
      <w:bookmarkEnd w:id="72"/>
      <w:bookmarkEnd w:id="73"/>
      <w:bookmarkEnd w:id="74"/>
      <w:bookmarkEnd w:id="75"/>
      <w:bookmarkEnd w:id="76"/>
      <w:r w:rsidR="00AC6765">
        <w:t>.</w:t>
      </w:r>
      <w:bookmarkEnd w:id="77"/>
      <w:bookmarkEnd w:id="78"/>
      <w:bookmarkEnd w:id="79"/>
      <w:bookmarkEnd w:id="80"/>
    </w:p>
    <w:p w14:paraId="70CFC8DA" w14:textId="77777777" w:rsidR="00295F0B" w:rsidRDefault="00295F0B" w:rsidP="00295F0B">
      <w:pPr>
        <w:pStyle w:val="Heading2"/>
      </w:pPr>
      <w:r>
        <w:t xml:space="preserve">BSR format selection </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6E593B58" w14:textId="77777777" w:rsidR="00295F0B" w:rsidRDefault="00295F0B" w:rsidP="00295F0B">
      <w:pPr>
        <w:rPr>
          <w:noProof/>
        </w:rPr>
      </w:pPr>
      <w:r>
        <w:rPr>
          <w:noProof/>
        </w:rPr>
        <w:t>In LTE, the below rules are defined on how to choose the BSR format:</w:t>
      </w:r>
    </w:p>
    <w:p w14:paraId="70468B63" w14:textId="77777777" w:rsidR="00295F0B" w:rsidRPr="00D845A8" w:rsidRDefault="00295F0B" w:rsidP="00295F0B">
      <w:pPr>
        <w:rPr>
          <w:i/>
          <w:noProof/>
        </w:rPr>
      </w:pPr>
      <w:r w:rsidRPr="00D845A8">
        <w:rPr>
          <w:i/>
          <w:noProof/>
        </w:rPr>
        <w:t>For Regular and Periodic BSR:</w:t>
      </w:r>
    </w:p>
    <w:p w14:paraId="5D5E4EDF" w14:textId="77777777" w:rsidR="00295F0B" w:rsidRPr="00D845A8" w:rsidRDefault="00295F0B" w:rsidP="00295F0B">
      <w:pPr>
        <w:pStyle w:val="B1"/>
        <w:rPr>
          <w:i/>
          <w:noProof/>
        </w:rPr>
      </w:pPr>
      <w:r w:rsidRPr="00D845A8">
        <w:rPr>
          <w:i/>
          <w:noProof/>
        </w:rPr>
        <w:t>-</w:t>
      </w:r>
      <w:r w:rsidRPr="00D845A8">
        <w:rPr>
          <w:i/>
          <w:noProof/>
        </w:rPr>
        <w:tab/>
        <w:t>if more than one LCG has data available for transmission in the TTI where the BSR is transmitted: report Long BSR;</w:t>
      </w:r>
    </w:p>
    <w:p w14:paraId="0604AF3C" w14:textId="77777777" w:rsidR="00295F0B" w:rsidRPr="00D845A8" w:rsidRDefault="00295F0B" w:rsidP="00295F0B">
      <w:pPr>
        <w:pStyle w:val="B1"/>
        <w:rPr>
          <w:i/>
          <w:noProof/>
        </w:rPr>
      </w:pPr>
      <w:r w:rsidRPr="00D845A8">
        <w:rPr>
          <w:i/>
          <w:noProof/>
        </w:rPr>
        <w:t>-</w:t>
      </w:r>
      <w:r w:rsidRPr="00D845A8">
        <w:rPr>
          <w:i/>
          <w:noProof/>
        </w:rPr>
        <w:tab/>
        <w:t>else report Short BSR.</w:t>
      </w:r>
    </w:p>
    <w:p w14:paraId="7CC34BB0" w14:textId="77777777" w:rsidR="00295F0B" w:rsidRPr="00D845A8" w:rsidRDefault="00295F0B" w:rsidP="00295F0B">
      <w:pPr>
        <w:rPr>
          <w:i/>
          <w:noProof/>
        </w:rPr>
      </w:pPr>
      <w:r w:rsidRPr="00D845A8">
        <w:rPr>
          <w:i/>
          <w:noProof/>
        </w:rPr>
        <w:t>For Padding BSR:</w:t>
      </w:r>
    </w:p>
    <w:p w14:paraId="6B3B964C" w14:textId="77777777" w:rsidR="00295F0B" w:rsidRPr="00D845A8" w:rsidRDefault="00295F0B" w:rsidP="00295F0B">
      <w:pPr>
        <w:pStyle w:val="B1"/>
        <w:rPr>
          <w:i/>
          <w:noProof/>
        </w:rPr>
      </w:pPr>
      <w:r w:rsidRPr="00D845A8">
        <w:rPr>
          <w:i/>
          <w:noProof/>
        </w:rPr>
        <w:t>-</w:t>
      </w:r>
      <w:r w:rsidRPr="00D845A8">
        <w:rPr>
          <w:i/>
          <w:noProof/>
        </w:rPr>
        <w:tab/>
        <w:t>if the number of padding bits is equal to or larger than the size of the Short BSR plus its subheader but smaller than the size of the Long BSR plus its subheader:</w:t>
      </w:r>
    </w:p>
    <w:p w14:paraId="6801C915" w14:textId="77777777" w:rsidR="00295F0B" w:rsidRPr="00D845A8" w:rsidRDefault="00295F0B" w:rsidP="00295F0B">
      <w:pPr>
        <w:pStyle w:val="B2"/>
        <w:rPr>
          <w:i/>
          <w:noProof/>
        </w:rPr>
      </w:pPr>
      <w:r w:rsidRPr="00D845A8">
        <w:rPr>
          <w:i/>
          <w:noProof/>
        </w:rPr>
        <w:t>-</w:t>
      </w:r>
      <w:r w:rsidRPr="00D845A8">
        <w:rPr>
          <w:i/>
          <w:noProof/>
        </w:rPr>
        <w:tab/>
        <w:t xml:space="preserve">if more than one LCG has data </w:t>
      </w:r>
      <w:r w:rsidRPr="00D845A8">
        <w:rPr>
          <w:i/>
          <w:noProof/>
          <w:lang w:eastAsia="zh-TW"/>
        </w:rPr>
        <w:t xml:space="preserve">available for transmission </w:t>
      </w:r>
      <w:r w:rsidRPr="00D845A8">
        <w:rPr>
          <w:i/>
          <w:noProof/>
        </w:rPr>
        <w:t>in the TTI where the BSR is transmitted: report Truncated BSR of the LCG with the highest priority logical channel with data available for transmission;</w:t>
      </w:r>
    </w:p>
    <w:p w14:paraId="278C24FD" w14:textId="77777777" w:rsidR="00295F0B" w:rsidRPr="00D845A8" w:rsidRDefault="00295F0B" w:rsidP="00295F0B">
      <w:pPr>
        <w:pStyle w:val="B2"/>
        <w:rPr>
          <w:i/>
          <w:noProof/>
        </w:rPr>
      </w:pPr>
      <w:r w:rsidRPr="00D845A8">
        <w:rPr>
          <w:i/>
          <w:noProof/>
        </w:rPr>
        <w:t>-</w:t>
      </w:r>
      <w:r w:rsidRPr="00D845A8">
        <w:rPr>
          <w:i/>
          <w:noProof/>
        </w:rPr>
        <w:tab/>
        <w:t>else report Short BSR.</w:t>
      </w:r>
    </w:p>
    <w:p w14:paraId="4673C923" w14:textId="77777777" w:rsidR="00295F0B" w:rsidRPr="00D845A8" w:rsidRDefault="00295F0B" w:rsidP="00295F0B">
      <w:pPr>
        <w:pStyle w:val="B1"/>
        <w:rPr>
          <w:i/>
          <w:noProof/>
        </w:rPr>
      </w:pPr>
      <w:r w:rsidRPr="00D845A8">
        <w:rPr>
          <w:i/>
          <w:noProof/>
        </w:rPr>
        <w:t>-</w:t>
      </w:r>
      <w:r w:rsidRPr="00D845A8">
        <w:rPr>
          <w:i/>
          <w:noProof/>
        </w:rPr>
        <w:tab/>
        <w:t>else if the number of padding bits is equal to or larger than the size of the Long BSR plus its subheader, report Long BSR.</w:t>
      </w:r>
    </w:p>
    <w:p w14:paraId="62F82BA3" w14:textId="417DD19A" w:rsidR="00295F0B" w:rsidRDefault="00AC6765" w:rsidP="00295F0B">
      <w:r>
        <w:t>The principle behind this text is to limit the overhead and not unnecessarily report BS for LCGs which have no data to transmit. This is a good principle which can be kept for NR, which means the text above can be reused.</w:t>
      </w:r>
    </w:p>
    <w:p w14:paraId="65AF09F1" w14:textId="51596464" w:rsidR="00295F0B" w:rsidRPr="00D845A8" w:rsidRDefault="00295F0B" w:rsidP="00295F0B">
      <w:pPr>
        <w:pStyle w:val="Proposal"/>
      </w:pPr>
      <w:r>
        <w:t xml:space="preserve"> </w:t>
      </w:r>
      <w:bookmarkStart w:id="97" w:name="_Toc494287627"/>
      <w:bookmarkStart w:id="98" w:name="_Toc494291622"/>
      <w:bookmarkStart w:id="99" w:name="_Toc494371327"/>
      <w:bookmarkStart w:id="100" w:name="_Toc494371345"/>
      <w:bookmarkStart w:id="101" w:name="_Toc494371367"/>
      <w:bookmarkStart w:id="102" w:name="_Toc494372128"/>
      <w:bookmarkStart w:id="103" w:name="_Toc494372209"/>
      <w:bookmarkStart w:id="104" w:name="_Toc494372220"/>
      <w:bookmarkStart w:id="105" w:name="_Toc494394509"/>
      <w:r>
        <w:t>As in LTE, NR uses the same rules at in LTE on the selection of BSR format</w:t>
      </w:r>
      <w:bookmarkEnd w:id="97"/>
      <w:bookmarkEnd w:id="98"/>
      <w:bookmarkEnd w:id="99"/>
      <w:bookmarkEnd w:id="100"/>
      <w:bookmarkEnd w:id="101"/>
      <w:r w:rsidR="00AC6765">
        <w:t>.</w:t>
      </w:r>
      <w:bookmarkEnd w:id="102"/>
      <w:bookmarkEnd w:id="103"/>
      <w:bookmarkEnd w:id="104"/>
      <w:bookmarkEnd w:id="105"/>
    </w:p>
    <w:p w14:paraId="0EEC2E5E" w14:textId="57A512F6" w:rsidR="00295F0B" w:rsidRDefault="00295F0B" w:rsidP="00295F0B">
      <w:pPr>
        <w:pStyle w:val="Heading1"/>
      </w:pPr>
      <w:bookmarkStart w:id="106" w:name="_Toc477984910"/>
      <w:bookmarkStart w:id="107" w:name="_Toc477984963"/>
      <w:bookmarkStart w:id="108" w:name="_Toc477985624"/>
      <w:bookmarkStart w:id="109" w:name="_Toc477255583"/>
      <w:bookmarkStart w:id="110" w:name="_Toc477266017"/>
      <w:bookmarkStart w:id="111" w:name="_Toc477971212"/>
      <w:bookmarkStart w:id="112" w:name="_Toc477971226"/>
      <w:bookmarkStart w:id="113" w:name="_Toc477971635"/>
      <w:bookmarkStart w:id="114" w:name="_Toc477254249"/>
      <w:bookmarkStart w:id="115" w:name="_Toc477254272"/>
      <w:bookmarkStart w:id="116" w:name="_Toc477254301"/>
      <w:bookmarkStart w:id="117" w:name="_Toc477255588"/>
      <w:bookmarkStart w:id="118" w:name="_Toc477266022"/>
      <w:bookmarkStart w:id="119" w:name="_Toc477971203"/>
      <w:bookmarkStart w:id="120" w:name="_Toc477971208"/>
      <w:bookmarkStart w:id="121" w:name="_Toc462843369"/>
      <w:bookmarkStart w:id="122" w:name="_Toc462843271"/>
      <w:bookmarkStart w:id="123" w:name="_Toc462843283"/>
      <w:bookmarkStart w:id="124" w:name="_Toc462843312"/>
      <w:bookmarkStart w:id="125" w:name="_Toc462843326"/>
      <w:bookmarkStart w:id="126" w:name="_Toc462843273"/>
      <w:bookmarkStart w:id="127" w:name="_Toc462843285"/>
      <w:bookmarkStart w:id="128" w:name="_Toc462843314"/>
      <w:bookmarkStart w:id="129" w:name="_Toc462843328"/>
      <w:bookmarkStart w:id="130" w:name="_Toc462843372"/>
      <w:bookmarkStart w:id="131" w:name="_Toc462843274"/>
      <w:bookmarkStart w:id="132" w:name="_Toc462843286"/>
      <w:bookmarkStart w:id="133" w:name="_Toc462843315"/>
      <w:bookmarkStart w:id="134" w:name="_Toc462843329"/>
      <w:bookmarkStart w:id="135" w:name="_Toc462843373"/>
      <w:bookmarkStart w:id="136" w:name="_Toc462843275"/>
      <w:bookmarkStart w:id="137" w:name="_Toc462843287"/>
      <w:bookmarkStart w:id="138" w:name="_Toc462843316"/>
      <w:bookmarkStart w:id="139" w:name="_Toc462843330"/>
      <w:bookmarkStart w:id="140" w:name="_Toc462843374"/>
      <w:bookmarkStart w:id="141" w:name="_Toc462843276"/>
      <w:bookmarkStart w:id="142" w:name="_Toc462843288"/>
      <w:bookmarkStart w:id="143" w:name="_Toc462843317"/>
      <w:bookmarkStart w:id="144" w:name="_Toc462843331"/>
      <w:bookmarkStart w:id="145" w:name="_Toc462843375"/>
      <w:bookmarkStart w:id="146" w:name="_Toc457910612"/>
      <w:bookmarkStart w:id="147" w:name="_Toc458413505"/>
      <w:bookmarkStart w:id="148" w:name="_Toc458718272"/>
      <w:bookmarkStart w:id="149" w:name="_Toc458718317"/>
      <w:bookmarkStart w:id="150" w:name="_Toc477971217"/>
      <w:bookmarkStart w:id="151" w:name="_Toc477971231"/>
      <w:bookmarkStart w:id="152" w:name="_Toc477971640"/>
      <w:bookmarkStart w:id="153" w:name="_Toc477984915"/>
      <w:bookmarkStart w:id="154" w:name="_Toc477971218"/>
      <w:bookmarkStart w:id="155" w:name="_Toc477971232"/>
      <w:bookmarkStart w:id="156" w:name="_Toc477971641"/>
      <w:bookmarkStart w:id="157" w:name="_Toc477984916"/>
      <w:bookmarkStart w:id="158" w:name="_Toc477729381"/>
      <w:bookmarkStart w:id="159" w:name="_Toc477729382"/>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lastRenderedPageBreak/>
        <w:t>BS table design</w:t>
      </w:r>
    </w:p>
    <w:p w14:paraId="259FAB6E" w14:textId="2D32BF93" w:rsidR="00295F0B" w:rsidRDefault="00295F0B" w:rsidP="00295F0B">
      <w:pPr>
        <w:pStyle w:val="Heading2"/>
      </w:pPr>
      <w:r>
        <w:t>LTE BS table design principles</w:t>
      </w:r>
    </w:p>
    <w:p w14:paraId="7980631D" w14:textId="77777777" w:rsidR="00295F0B" w:rsidRDefault="00295F0B" w:rsidP="00295F0B">
      <w:bookmarkStart w:id="160" w:name="_Toc487472297"/>
      <w:bookmarkStart w:id="161" w:name="_Toc487472298"/>
      <w:bookmarkStart w:id="162" w:name="_Toc487029696"/>
      <w:bookmarkEnd w:id="160"/>
      <w:bookmarkEnd w:id="161"/>
      <w:bookmarkEnd w:id="162"/>
      <w:r>
        <w:rPr>
          <w:lang w:eastAsia="ja-JP"/>
        </w:rPr>
        <w:t>The BS size levels for BSR in LTE were discussed in [1]</w:t>
      </w:r>
      <w:r>
        <w:t xml:space="preserve"> and was proposed to compute the exponentially distributed buffer size levels. In order to do that, the following parameters need to be determined: the minimum buffer size level (</w:t>
      </w:r>
      <w:r w:rsidRPr="002D4F89">
        <w:rPr>
          <w:i/>
        </w:rPr>
        <w:t>B</w:t>
      </w:r>
      <w:r w:rsidRPr="002D4F89">
        <w:rPr>
          <w:i/>
          <w:vertAlign w:val="subscript"/>
        </w:rPr>
        <w:t>min</w:t>
      </w:r>
      <w:r>
        <w:t>), the maximum buffer size level (</w:t>
      </w:r>
      <w:r w:rsidRPr="002D4F89">
        <w:rPr>
          <w:i/>
        </w:rPr>
        <w:t>B</w:t>
      </w:r>
      <w:r w:rsidRPr="002D4F89">
        <w:rPr>
          <w:i/>
          <w:vertAlign w:val="subscript"/>
        </w:rPr>
        <w:t>m</w:t>
      </w:r>
      <w:r>
        <w:rPr>
          <w:i/>
          <w:vertAlign w:val="subscript"/>
        </w:rPr>
        <w:t>ax</w:t>
      </w:r>
      <w:r>
        <w:t>), and the number of reported buffer size levels (</w:t>
      </w:r>
      <w:r w:rsidRPr="002D4F89">
        <w:rPr>
          <w:i/>
        </w:rPr>
        <w:t>N</w:t>
      </w:r>
      <w:r>
        <w:t>).</w:t>
      </w:r>
    </w:p>
    <w:p w14:paraId="4D674CAA" w14:textId="77777777" w:rsidR="00295F0B" w:rsidRDefault="00295F0B" w:rsidP="00295F0B">
      <w:pPr>
        <w:spacing w:after="240"/>
      </w:pPr>
      <w:r w:rsidRPr="00372165">
        <w:t xml:space="preserve">Based </w:t>
      </w:r>
      <w:r>
        <w:t>on the parameters above, the buffer size levels are derived using the following formula [1]:</w:t>
      </w:r>
    </w:p>
    <w:p w14:paraId="0EF4FCCA" w14:textId="294B2FA1" w:rsidR="00295F0B" w:rsidRDefault="00295F0B" w:rsidP="00295F0B">
      <w:pPr>
        <w:spacing w:after="240"/>
        <w:jc w:val="center"/>
      </w:pPr>
      <w:r w:rsidRPr="00372165">
        <w:rPr>
          <w:i/>
        </w:rPr>
        <w:t>B</w:t>
      </w:r>
      <w:r w:rsidRPr="00372165">
        <w:rPr>
          <w:i/>
          <w:vertAlign w:val="subscript"/>
        </w:rPr>
        <w:t>k</w:t>
      </w:r>
      <w:r w:rsidRPr="00372165">
        <w:rPr>
          <w:i/>
        </w:rPr>
        <w:t xml:space="preserve"> </w:t>
      </w:r>
      <w:r>
        <w:t xml:space="preserve">= </w:t>
      </w:r>
      <w:r>
        <w:sym w:font="Symbol" w:char="F0E9"/>
      </w:r>
      <w:r w:rsidRPr="00372165">
        <w:rPr>
          <w:i/>
        </w:rPr>
        <w:t>B</w:t>
      </w:r>
      <w:r w:rsidRPr="00756ED1">
        <w:rPr>
          <w:i/>
          <w:vertAlign w:val="subscript"/>
        </w:rPr>
        <w:t>min</w:t>
      </w:r>
      <w:r>
        <w:rPr>
          <w:i/>
        </w:rPr>
        <w:sym w:font="Symbol" w:char="F0D7"/>
      </w:r>
      <w:r>
        <w:rPr>
          <w:i/>
        </w:rPr>
        <w:t xml:space="preserve"> </w:t>
      </w:r>
      <w:r w:rsidRPr="00756ED1">
        <w:t>(</w:t>
      </w:r>
      <w:r>
        <w:rPr>
          <w:i/>
        </w:rPr>
        <w:t>1 - p</w:t>
      </w:r>
      <w:r w:rsidRPr="00756ED1">
        <w:t>)</w:t>
      </w:r>
      <w:r>
        <w:rPr>
          <w:i/>
          <w:vertAlign w:val="superscript"/>
        </w:rPr>
        <w:t xml:space="preserve"> k</w:t>
      </w:r>
      <w:r>
        <w:t xml:space="preserve"> </w:t>
      </w:r>
      <w:r>
        <w:sym w:font="Symbol" w:char="F0F9"/>
      </w:r>
      <w:r>
        <w:t xml:space="preserve">   (1)</w:t>
      </w:r>
    </w:p>
    <w:p w14:paraId="67927B7E" w14:textId="48DFB9DA" w:rsidR="00295F0B" w:rsidRDefault="00295F0B" w:rsidP="00295F0B">
      <w:pPr>
        <w:pStyle w:val="BodyText"/>
        <w:jc w:val="center"/>
      </w:pPr>
      <w:r>
        <w:t xml:space="preserve">where </w:t>
      </w:r>
      <w:r w:rsidRPr="00756ED1">
        <w:rPr>
          <w:i/>
        </w:rPr>
        <w:t>p</w:t>
      </w:r>
      <w:r>
        <w:t xml:space="preserve"> = ( </w:t>
      </w:r>
      <w:r w:rsidRPr="00756ED1">
        <w:rPr>
          <w:i/>
        </w:rPr>
        <w:t>B</w:t>
      </w:r>
      <w:r>
        <w:rPr>
          <w:i/>
          <w:vertAlign w:val="subscript"/>
        </w:rPr>
        <w:t>max</w:t>
      </w:r>
      <w:r>
        <w:t xml:space="preserve"> / </w:t>
      </w:r>
      <w:r w:rsidRPr="00756ED1">
        <w:rPr>
          <w:i/>
        </w:rPr>
        <w:t>B</w:t>
      </w:r>
      <w:r w:rsidRPr="00756ED1">
        <w:rPr>
          <w:i/>
          <w:vertAlign w:val="subscript"/>
        </w:rPr>
        <w:t>m</w:t>
      </w:r>
      <w:r>
        <w:rPr>
          <w:i/>
          <w:vertAlign w:val="subscript"/>
        </w:rPr>
        <w:t>in</w:t>
      </w:r>
      <w:r>
        <w:t xml:space="preserve">) </w:t>
      </w:r>
      <w:r>
        <w:rPr>
          <w:vertAlign w:val="superscript"/>
        </w:rPr>
        <w:t>1 / (</w:t>
      </w:r>
      <w:r w:rsidRPr="00756ED1">
        <w:rPr>
          <w:i/>
          <w:vertAlign w:val="superscript"/>
        </w:rPr>
        <w:t>N</w:t>
      </w:r>
      <w:r>
        <w:rPr>
          <w:vertAlign w:val="superscript"/>
        </w:rPr>
        <w:t>-1)</w:t>
      </w:r>
      <w:r>
        <w:t xml:space="preserve"> – 1   (2)</w:t>
      </w:r>
    </w:p>
    <w:p w14:paraId="79986DC2" w14:textId="77777777" w:rsidR="00295F0B" w:rsidRDefault="00295F0B" w:rsidP="00295F0B">
      <w:r w:rsidRPr="00870DED">
        <w:t>The amount of data is indicated in number of bytes.</w:t>
      </w:r>
      <w:r>
        <w:t xml:space="preserve"> </w:t>
      </w:r>
      <w:r w:rsidRPr="00870DED">
        <w:rPr>
          <w:lang w:val="en-US"/>
        </w:rPr>
        <w:t>T</w:t>
      </w:r>
      <w:r>
        <w:t xml:space="preserve">he buffer size was tailored to fit with a VoIP SID packet because it is likely to be the smallest packet for transmission in uplink. Given the AMR SID header as well as the compressed UDP/IP header, the value of 10 bytes was chosen for the minimum buffer size level, i.e., </w:t>
      </w:r>
      <w:r w:rsidRPr="00BB7562">
        <w:rPr>
          <w:i/>
        </w:rPr>
        <w:t>B</w:t>
      </w:r>
      <w:r w:rsidRPr="00BB7562">
        <w:rPr>
          <w:i/>
          <w:vertAlign w:val="subscript"/>
        </w:rPr>
        <w:t>m</w:t>
      </w:r>
      <w:r>
        <w:rPr>
          <w:i/>
          <w:vertAlign w:val="subscript"/>
        </w:rPr>
        <w:t>in</w:t>
      </w:r>
      <w:r>
        <w:t xml:space="preserve"> = 10 bytes. The maximum buffer size level was derived based on the uplink peak data rate and the expected response time after a buffer status report is transmitted (i.e. the time duration between a buffer status report and the corresponding uplink grant). With a maximum transport block size of 75376 bits and a response time of 2 RTTs (including transmission, processing as well as scheduling delay), the maximum buffer size level was derived as:</w:t>
      </w:r>
    </w:p>
    <w:p w14:paraId="67B79546" w14:textId="77777777" w:rsidR="00295F0B" w:rsidRPr="00BB7562" w:rsidRDefault="00295F0B" w:rsidP="00295F0B">
      <w:pPr>
        <w:spacing w:after="240"/>
        <w:jc w:val="center"/>
      </w:pPr>
      <w:r w:rsidRPr="00BB7562">
        <w:rPr>
          <w:i/>
        </w:rPr>
        <w:t>B</w:t>
      </w:r>
      <w:r w:rsidRPr="00BB7562">
        <w:rPr>
          <w:i/>
          <w:vertAlign w:val="subscript"/>
        </w:rPr>
        <w:t>max</w:t>
      </w:r>
      <w:r>
        <w:t xml:space="preserve"> = (75376 </w:t>
      </w:r>
      <w:r>
        <w:sym w:font="Symbol" w:char="F0B4"/>
      </w:r>
      <w:r>
        <w:t xml:space="preserve"> 16) / 8 = 150752 bytes </w:t>
      </w:r>
      <w:r>
        <w:rPr>
          <w:rFonts w:cs="Arial"/>
          <w:color w:val="000000"/>
        </w:rPr>
        <w:t>≈</w:t>
      </w:r>
      <w:r>
        <w:t xml:space="preserve"> 150 Kbyte</w:t>
      </w:r>
    </w:p>
    <w:p w14:paraId="08E68A8E" w14:textId="77777777" w:rsidR="00295F0B" w:rsidRDefault="00295F0B" w:rsidP="00295F0B">
      <w:r>
        <w:t>Given the BS field in LTE is 6 bits, assuming that the index “000000” is reserved to report an “empty buffer” then there are 2</w:t>
      </w:r>
      <w:r w:rsidRPr="00FD37D0">
        <w:rPr>
          <w:vertAlign w:val="superscript"/>
        </w:rPr>
        <w:t>6</w:t>
      </w:r>
      <w:r>
        <w:t xml:space="preserve"> – 1 = 63 (exponentially distributed) buffer size levels, i.e., </w:t>
      </w:r>
      <w:r w:rsidRPr="00372165">
        <w:rPr>
          <w:i/>
        </w:rPr>
        <w:t>N</w:t>
      </w:r>
      <w:r>
        <w:t xml:space="preserve"> = 63. </w:t>
      </w:r>
    </w:p>
    <w:p w14:paraId="0F5E2130" w14:textId="77777777" w:rsidR="00295F0B" w:rsidRPr="004855E6" w:rsidRDefault="00295F0B" w:rsidP="00295F0B">
      <w:r>
        <w:t xml:space="preserve">The above assumptions were captured in the basic BS size table (i.e., </w:t>
      </w:r>
      <w:r w:rsidRPr="00870DED">
        <w:t>Table 6.1.3.1-1</w:t>
      </w:r>
      <w:r>
        <w:t xml:space="preserve"> in LTE MAC spec)</w:t>
      </w:r>
      <w:r w:rsidRPr="00870DED">
        <w:t xml:space="preserve">. </w:t>
      </w:r>
      <w:r>
        <w:t xml:space="preserve">In LTE Rel-10, an extended BS size table (i.e., with </w:t>
      </w:r>
      <w:r w:rsidRPr="00870DED">
        <w:t>extendedBSR-Sizes</w:t>
      </w:r>
      <w:r>
        <w:t>)</w:t>
      </w:r>
      <w:r w:rsidRPr="00870DED">
        <w:t xml:space="preserve"> </w:t>
      </w:r>
      <w:r>
        <w:t>was added to support higher data rate for CA and MIMO</w:t>
      </w:r>
      <w:r w:rsidRPr="00870DED">
        <w:t xml:space="preserve"> </w:t>
      </w:r>
      <w:r>
        <w:t>(i.e., Table 6.1.3.1-2 in LTE MAC spec), where</w:t>
      </w:r>
      <w:r w:rsidRPr="004855E6">
        <w:t xml:space="preserve"> </w:t>
      </w:r>
      <w:r w:rsidRPr="00313E1F">
        <w:t>B</w:t>
      </w:r>
      <w:r w:rsidRPr="00A962C3">
        <w:rPr>
          <w:vertAlign w:val="subscript"/>
        </w:rPr>
        <w:t>max</w:t>
      </w:r>
      <w:r>
        <w:rPr>
          <w:vertAlign w:val="subscript"/>
        </w:rPr>
        <w:t xml:space="preserve"> </w:t>
      </w:r>
      <w:r>
        <w:t xml:space="preserve"> was extended to fit with </w:t>
      </w:r>
      <w:r>
        <w:rPr>
          <w:rFonts w:hint="eastAsia"/>
          <w:kern w:val="2"/>
        </w:rPr>
        <w:t xml:space="preserve">4 layers </w:t>
      </w:r>
      <w:r w:rsidRPr="00730F22">
        <w:rPr>
          <w:rFonts w:hint="eastAsia"/>
          <w:kern w:val="2"/>
        </w:rPr>
        <w:t>UL MIMO</w:t>
      </w:r>
      <w:r>
        <w:rPr>
          <w:kern w:val="2"/>
        </w:rPr>
        <w:t xml:space="preserve"> and </w:t>
      </w:r>
      <w:r>
        <w:rPr>
          <w:rFonts w:hint="eastAsia"/>
          <w:kern w:val="2"/>
        </w:rPr>
        <w:t>5 UL CC</w:t>
      </w:r>
      <w:r>
        <w:rPr>
          <w:kern w:val="2"/>
        </w:rPr>
        <w:t xml:space="preserve"> and shown as below</w:t>
      </w:r>
      <w:r w:rsidRPr="00730F22">
        <w:rPr>
          <w:rFonts w:hint="eastAsia"/>
          <w:kern w:val="2"/>
        </w:rPr>
        <w:t xml:space="preserve">, </w:t>
      </w:r>
    </w:p>
    <w:p w14:paraId="292BD960" w14:textId="77777777" w:rsidR="00295F0B" w:rsidRDefault="00295F0B" w:rsidP="00295F0B">
      <w:pPr>
        <w:jc w:val="center"/>
      </w:pPr>
      <w:r w:rsidRPr="00313E1F">
        <w:t>B</w:t>
      </w:r>
      <w:r w:rsidRPr="00A962C3">
        <w:rPr>
          <w:vertAlign w:val="subscript"/>
        </w:rPr>
        <w:t>max</w:t>
      </w:r>
      <w:r w:rsidRPr="00313E1F">
        <w:t xml:space="preserve"> = (75376</w:t>
      </w:r>
      <w:r>
        <w:rPr>
          <w:rFonts w:hint="eastAsia"/>
        </w:rPr>
        <w:t xml:space="preserve"> </w:t>
      </w:r>
      <w:r w:rsidRPr="00313E1F">
        <w:sym w:font="Symbol" w:char="F0B4"/>
      </w:r>
      <w:r>
        <w:rPr>
          <w:rFonts w:hint="eastAsia"/>
        </w:rPr>
        <w:t xml:space="preserve"> </w:t>
      </w:r>
      <w:r w:rsidRPr="00313E1F">
        <w:t xml:space="preserve"> </w:t>
      </w:r>
      <w:r w:rsidRPr="00423830">
        <w:t xml:space="preserve">16 </w:t>
      </w:r>
      <w:r w:rsidRPr="00423830">
        <w:sym w:font="Symbol" w:char="F0B4"/>
      </w:r>
      <w:r w:rsidRPr="00423830">
        <w:rPr>
          <w:rFonts w:hint="eastAsia"/>
        </w:rPr>
        <w:t xml:space="preserve"> </w:t>
      </w:r>
      <w:r w:rsidRPr="00423830">
        <w:t xml:space="preserve">4 </w:t>
      </w:r>
      <w:r w:rsidRPr="00423830">
        <w:sym w:font="Symbol" w:char="F0B4"/>
      </w:r>
      <w:r w:rsidRPr="00423830">
        <w:t xml:space="preserve"> </w:t>
      </w:r>
      <w:r w:rsidRPr="00423830">
        <w:rPr>
          <w:rFonts w:hint="eastAsia"/>
        </w:rPr>
        <w:t>5</w:t>
      </w:r>
      <w:r>
        <w:t>) / 8</w:t>
      </w:r>
      <w:r w:rsidRPr="00313E1F">
        <w:t xml:space="preserve"> </w:t>
      </w:r>
      <w:r>
        <w:rPr>
          <w:rFonts w:cs="Arial"/>
          <w:color w:val="000000"/>
        </w:rPr>
        <w:t>≈</w:t>
      </w:r>
      <w:r>
        <w:t xml:space="preserve"> 30</w:t>
      </w:r>
      <w:r w:rsidRPr="00313E1F">
        <w:t>0</w:t>
      </w:r>
      <w:r>
        <w:rPr>
          <w:rFonts w:hint="eastAsia"/>
        </w:rPr>
        <w:t>0</w:t>
      </w:r>
      <w:r w:rsidRPr="00313E1F">
        <w:t xml:space="preserve"> Kbyte</w:t>
      </w:r>
      <w:r>
        <w:rPr>
          <w:rFonts w:hint="eastAsia"/>
        </w:rPr>
        <w:t>s.</w:t>
      </w:r>
    </w:p>
    <w:p w14:paraId="123EEE6D" w14:textId="77777777" w:rsidR="00295F0B" w:rsidRDefault="00295F0B" w:rsidP="00295F0B">
      <w:pPr>
        <w:pStyle w:val="Heading2"/>
      </w:pPr>
      <w:r>
        <w:t>NR BS table design</w:t>
      </w:r>
    </w:p>
    <w:p w14:paraId="134D8811" w14:textId="77777777" w:rsidR="00295F0B" w:rsidRDefault="00295F0B" w:rsidP="00295F0B">
      <w:pPr>
        <w:pStyle w:val="Heading3"/>
      </w:pPr>
      <w:r>
        <w:t>General aspects</w:t>
      </w:r>
    </w:p>
    <w:p w14:paraId="2069BE0F" w14:textId="77777777" w:rsidR="00295F0B" w:rsidRDefault="00295F0B" w:rsidP="00295F0B">
      <w:pPr>
        <w:spacing w:beforeLines="100" w:before="240" w:afterLines="50" w:after="120"/>
      </w:pPr>
      <w:r>
        <w:t xml:space="preserve">For BS size table in NR, the same design principle as the formula (1) should be applied. However, the values of the parameters (i.e. </w:t>
      </w:r>
      <w:r>
        <w:rPr>
          <w:i/>
        </w:rPr>
        <w:t>B</w:t>
      </w:r>
      <w:r>
        <w:rPr>
          <w:i/>
          <w:vertAlign w:val="subscript"/>
        </w:rPr>
        <w:t>max</w:t>
      </w:r>
      <w:r>
        <w:t>,</w:t>
      </w:r>
      <w:r>
        <w:rPr>
          <w:i/>
        </w:rPr>
        <w:t xml:space="preserve"> B</w:t>
      </w:r>
      <w:r>
        <w:rPr>
          <w:i/>
          <w:vertAlign w:val="subscript"/>
        </w:rPr>
        <w:t>min</w:t>
      </w:r>
      <w:r>
        <w:t xml:space="preserve"> and </w:t>
      </w:r>
      <w:r>
        <w:rPr>
          <w:i/>
        </w:rPr>
        <w:t>N</w:t>
      </w:r>
      <w:r>
        <w:t>) may be different from that in LTE.</w:t>
      </w:r>
    </w:p>
    <w:p w14:paraId="13ACFCAD" w14:textId="28ABD38A" w:rsidR="00295F0B" w:rsidRDefault="00295F0B" w:rsidP="00BC3720">
      <w:pPr>
        <w:pStyle w:val="Observation"/>
      </w:pPr>
      <w:bookmarkStart w:id="163" w:name="_Toc492302887"/>
      <w:bookmarkStart w:id="164" w:name="_Toc493512617"/>
      <w:bookmarkStart w:id="165" w:name="_Toc494371319"/>
      <w:bookmarkStart w:id="166" w:name="_Toc494371338"/>
      <w:bookmarkStart w:id="167" w:name="_Toc494372124"/>
      <w:bookmarkStart w:id="168" w:name="_Toc494372142"/>
      <w:bookmarkStart w:id="169" w:name="_Toc494394505"/>
      <w:r>
        <w:t>The design approach for LTE BS size value tables should be applied for NR</w:t>
      </w:r>
      <w:bookmarkEnd w:id="163"/>
      <w:bookmarkEnd w:id="164"/>
      <w:bookmarkEnd w:id="165"/>
      <w:bookmarkEnd w:id="166"/>
      <w:r w:rsidR="00AC6765">
        <w:t>.</w:t>
      </w:r>
      <w:bookmarkEnd w:id="167"/>
      <w:bookmarkEnd w:id="168"/>
      <w:bookmarkEnd w:id="169"/>
    </w:p>
    <w:p w14:paraId="6E66274D" w14:textId="77777777" w:rsidR="00295F0B" w:rsidRPr="0020007F" w:rsidRDefault="00295F0B" w:rsidP="00295F0B">
      <w:r w:rsidRPr="0020007F">
        <w:t>Given VoIP services are continuously to exist in NR and the packet compression functions are largely reused at PDCP layer, it is reasonable to reuse the same minimum buffer size level, i.e., Bmin = 10 bytes for NR.</w:t>
      </w:r>
    </w:p>
    <w:p w14:paraId="5FFEA67D" w14:textId="77777777" w:rsidR="00295F0B" w:rsidRPr="00392FCD" w:rsidRDefault="00295F0B" w:rsidP="00295F0B">
      <w:pPr>
        <w:rPr>
          <w:lang w:val="en-US"/>
        </w:rPr>
      </w:pPr>
      <w:r w:rsidRPr="0020007F">
        <w:t>At the same time, the NR is designed to support a wide range of services which vary in the data rate range from a very low rate up to a very high rate. It is beneficial to update Bmax, and N to give an increased granularity and an enlarged rate range of the buffer sizes. Therefore, it is suggested that</w:t>
      </w:r>
    </w:p>
    <w:p w14:paraId="4745EA71" w14:textId="56FDD751" w:rsidR="00295F0B" w:rsidRPr="0020007F" w:rsidRDefault="00295F0B" w:rsidP="00485624">
      <w:pPr>
        <w:pStyle w:val="Proposal"/>
      </w:pPr>
      <w:bookmarkStart w:id="170" w:name="_Toc494287915"/>
      <w:bookmarkStart w:id="171" w:name="_Toc494371328"/>
      <w:bookmarkStart w:id="172" w:name="_Toc494371346"/>
      <w:bookmarkStart w:id="173" w:name="_Toc494371368"/>
      <w:bookmarkStart w:id="174" w:name="_Toc494372129"/>
      <w:bookmarkStart w:id="175" w:name="_Toc494372210"/>
      <w:bookmarkStart w:id="176" w:name="_Toc494372221"/>
      <w:bookmarkStart w:id="177" w:name="_Toc494394510"/>
      <w:r>
        <w:t>The design approach for LTE BS size value tables should be applied for NR with updated parameters (i.e.</w:t>
      </w:r>
      <w:r w:rsidRPr="00775693">
        <w:rPr>
          <w:i/>
        </w:rPr>
        <w:t xml:space="preserve"> B</w:t>
      </w:r>
      <w:r w:rsidRPr="00775693">
        <w:rPr>
          <w:i/>
          <w:vertAlign w:val="subscript"/>
        </w:rPr>
        <w:t>max</w:t>
      </w:r>
      <w:r>
        <w:t>,</w:t>
      </w:r>
      <w:r w:rsidRPr="00775693">
        <w:rPr>
          <w:i/>
        </w:rPr>
        <w:t xml:space="preserve"> </w:t>
      </w:r>
      <w:r>
        <w:t xml:space="preserve">and </w:t>
      </w:r>
      <w:r w:rsidRPr="00775693">
        <w:rPr>
          <w:i/>
        </w:rPr>
        <w:t>N)</w:t>
      </w:r>
      <w:bookmarkEnd w:id="170"/>
      <w:bookmarkEnd w:id="171"/>
      <w:bookmarkEnd w:id="172"/>
      <w:bookmarkEnd w:id="173"/>
      <w:r w:rsidR="00AC6765">
        <w:t xml:space="preserve"> but </w:t>
      </w:r>
      <w:r w:rsidR="00AC6765" w:rsidRPr="00392FCD">
        <w:rPr>
          <w:i/>
        </w:rPr>
        <w:t>B</w:t>
      </w:r>
      <w:r w:rsidR="00AC6765" w:rsidRPr="00392FCD">
        <w:rPr>
          <w:i/>
          <w:vertAlign w:val="subscript"/>
        </w:rPr>
        <w:t xml:space="preserve">min </w:t>
      </w:r>
      <w:r w:rsidR="00AC6765" w:rsidRPr="00392FCD">
        <w:rPr>
          <w:i/>
        </w:rPr>
        <w:t xml:space="preserve"> </w:t>
      </w:r>
      <w:r w:rsidR="00AC6765">
        <w:t>is set to 10 bytes, as in LTE.</w:t>
      </w:r>
      <w:bookmarkEnd w:id="174"/>
      <w:bookmarkEnd w:id="175"/>
      <w:bookmarkEnd w:id="176"/>
      <w:bookmarkEnd w:id="177"/>
    </w:p>
    <w:p w14:paraId="5E72BF50" w14:textId="77777777" w:rsidR="00295F0B" w:rsidRDefault="00295F0B" w:rsidP="00295F0B">
      <w:pPr>
        <w:pStyle w:val="Heading3"/>
        <w:rPr>
          <w:lang w:val="en-US"/>
        </w:rPr>
      </w:pPr>
      <w:bookmarkStart w:id="178" w:name="_Toc493509157"/>
      <w:bookmarkStart w:id="179" w:name="_Toc493509190"/>
      <w:bookmarkStart w:id="180" w:name="_Toc493509215"/>
      <w:bookmarkStart w:id="181" w:name="_Toc493509301"/>
      <w:bookmarkStart w:id="182" w:name="_Toc493512056"/>
      <w:bookmarkStart w:id="183" w:name="_Toc493512090"/>
      <w:bookmarkStart w:id="184" w:name="_Toc493512121"/>
      <w:bookmarkStart w:id="185" w:name="_Toc493512143"/>
      <w:bookmarkStart w:id="186" w:name="_Toc493512153"/>
      <w:bookmarkStart w:id="187" w:name="_Toc493512288"/>
      <w:bookmarkEnd w:id="178"/>
      <w:bookmarkEnd w:id="179"/>
      <w:bookmarkEnd w:id="180"/>
      <w:bookmarkEnd w:id="181"/>
      <w:bookmarkEnd w:id="182"/>
      <w:bookmarkEnd w:id="183"/>
      <w:bookmarkEnd w:id="184"/>
      <w:bookmarkEnd w:id="185"/>
      <w:bookmarkEnd w:id="186"/>
      <w:bookmarkEnd w:id="187"/>
      <w:r>
        <w:rPr>
          <w:lang w:val="en-US"/>
        </w:rPr>
        <w:lastRenderedPageBreak/>
        <w:t>BS size table for long BSR</w:t>
      </w:r>
    </w:p>
    <w:p w14:paraId="7322595E" w14:textId="77777777" w:rsidR="00295F0B" w:rsidRDefault="00295F0B" w:rsidP="00295F0B">
      <w:pPr>
        <w:rPr>
          <w:lang w:val="en-US"/>
        </w:rPr>
      </w:pPr>
      <w:r w:rsidRPr="00D47EE3">
        <w:rPr>
          <w:lang w:val="en-US"/>
        </w:rPr>
        <w:t xml:space="preserve">It is further noted that 6 bits may not be sufficient to convey a buffer status with the granularity required for the wide range of services expected to be support by NR. The prime targets of NR include extreme MBB rates (10 Gbps), but also much lower rates e.g. from less extreme MBB or URLLC, and moreover an increased mix of high and low rate services. This could make the buffer sizes for the different LCGs to change rapidly and an increased granularity of the buffer sizes would be of great benefit for the scheduler. One way to encode such granularity would be to byte-align the fields and thereby simply extend the size of the Buffer Status field to 8 bits. For the long BSR format, it is suggested </w:t>
      </w:r>
      <w:r>
        <w:rPr>
          <w:lang w:val="en-US"/>
        </w:rPr>
        <w:t>to increase BS field to 8 bits.</w:t>
      </w:r>
    </w:p>
    <w:p w14:paraId="07CB6E47" w14:textId="77777777" w:rsidR="00295F0B" w:rsidRDefault="00295F0B" w:rsidP="00295F0B">
      <w:pPr>
        <w:rPr>
          <w:lang w:val="en-US"/>
        </w:rPr>
      </w:pPr>
      <w:r>
        <w:rPr>
          <w:lang w:val="en-US"/>
        </w:rPr>
        <w:t xml:space="preserve">The two BS size value tables in LTE are applied for scenarios with and without enhanced data rates (i.e., CA and MIMO) separately. We don’t see the need to have two BS size tables for long BSR format, since most NR terminals are expected to support CA and MIMO features from the first release. </w:t>
      </w:r>
    </w:p>
    <w:p w14:paraId="2252487A" w14:textId="78E13CEC" w:rsidR="00295F0B" w:rsidRPr="0020007F" w:rsidRDefault="00295F0B" w:rsidP="00485624">
      <w:pPr>
        <w:pStyle w:val="Proposal"/>
      </w:pPr>
      <w:bookmarkStart w:id="188" w:name="_Toc494287917"/>
      <w:bookmarkStart w:id="189" w:name="_Toc494371330"/>
      <w:bookmarkStart w:id="190" w:name="_Toc494371348"/>
      <w:bookmarkStart w:id="191" w:name="_Toc494371370"/>
      <w:bookmarkStart w:id="192" w:name="_Toc494372131"/>
      <w:bookmarkStart w:id="193" w:name="_Toc494372212"/>
      <w:bookmarkStart w:id="194" w:name="_Toc494372223"/>
      <w:bookmarkStart w:id="195" w:name="_Toc494394511"/>
      <w:r>
        <w:rPr>
          <w:lang w:val="en-US"/>
        </w:rPr>
        <w:t>NR supports one BS size value table with 256 steps for long BSR format</w:t>
      </w:r>
      <w:bookmarkEnd w:id="188"/>
      <w:bookmarkEnd w:id="189"/>
      <w:bookmarkEnd w:id="190"/>
      <w:bookmarkEnd w:id="191"/>
      <w:r w:rsidR="00AC6765">
        <w:rPr>
          <w:lang w:val="en-US"/>
        </w:rPr>
        <w:t>.</w:t>
      </w:r>
      <w:bookmarkEnd w:id="192"/>
      <w:bookmarkEnd w:id="193"/>
      <w:bookmarkEnd w:id="194"/>
      <w:bookmarkEnd w:id="195"/>
    </w:p>
    <w:p w14:paraId="49B32A04" w14:textId="77777777" w:rsidR="00295F0B" w:rsidRDefault="00295F0B" w:rsidP="00295F0B">
      <w:r>
        <w:rPr>
          <w:lang w:val="en-US"/>
        </w:rPr>
        <w:t xml:space="preserve">Similar as that in LTE, the value of </w:t>
      </w:r>
      <w:r>
        <w:rPr>
          <w:i/>
        </w:rPr>
        <w:t>B</w:t>
      </w:r>
      <w:r>
        <w:rPr>
          <w:i/>
          <w:vertAlign w:val="subscript"/>
        </w:rPr>
        <w:t>max</w:t>
      </w:r>
      <w:r w:rsidRPr="00B961CA">
        <w:t xml:space="preserve"> </w:t>
      </w:r>
      <w:r>
        <w:t xml:space="preserve">is derived based on the uplink peak data rate, i.e., the maximum uplink transport block size and the expected response time after a buffer status report is transmitted (i.e. the time duration between a buffer status report and the corresponding uplink grant), </w:t>
      </w:r>
      <w:r>
        <w:rPr>
          <w:kern w:val="2"/>
        </w:rPr>
        <w:t>the number of</w:t>
      </w:r>
      <w:r>
        <w:rPr>
          <w:rFonts w:hint="eastAsia"/>
          <w:kern w:val="2"/>
        </w:rPr>
        <w:t xml:space="preserve"> layers</w:t>
      </w:r>
      <w:r>
        <w:rPr>
          <w:kern w:val="2"/>
        </w:rPr>
        <w:t xml:space="preserve">, and the number of </w:t>
      </w:r>
      <w:r>
        <w:rPr>
          <w:rFonts w:hint="eastAsia"/>
          <w:kern w:val="2"/>
        </w:rPr>
        <w:t>CC</w:t>
      </w:r>
      <w:r>
        <w:rPr>
          <w:kern w:val="2"/>
        </w:rPr>
        <w:t>s</w:t>
      </w:r>
      <w:r>
        <w:t xml:space="preserve">. For the response time, the 2 times of HARQ RTT was used in LTE considering the delay components such as HARQ transmission, the delay component due to dynamic scheduling (processing time, encoding and decoding of data/grant) etc. In NR, the UP processing time and scheduling time have been significant reduced by optimization, therefore, we think 1 HARQ RTT is sufficient to be considered. Given NR supports different lengths of the transmission durations, we think the largest HARQ RTT should be considered to. </w:t>
      </w:r>
    </w:p>
    <w:p w14:paraId="795FB00B" w14:textId="6B182FA7" w:rsidR="00295F0B" w:rsidRDefault="00295F0B" w:rsidP="00485624">
      <w:pPr>
        <w:pStyle w:val="Proposal"/>
      </w:pPr>
      <w:bookmarkStart w:id="196" w:name="_Toc494287918"/>
      <w:bookmarkStart w:id="197" w:name="_Toc494371331"/>
      <w:bookmarkStart w:id="198" w:name="_Toc494371349"/>
      <w:bookmarkStart w:id="199" w:name="_Toc494371371"/>
      <w:bookmarkStart w:id="200" w:name="_Toc494372132"/>
      <w:bookmarkStart w:id="201" w:name="_Toc494372213"/>
      <w:bookmarkStart w:id="202" w:name="_Toc494372224"/>
      <w:bookmarkStart w:id="203" w:name="_Toc494394512"/>
      <w:r>
        <w:t xml:space="preserve">The </w:t>
      </w:r>
      <w:r>
        <w:rPr>
          <w:lang w:val="en-US"/>
        </w:rPr>
        <w:t xml:space="preserve">value of </w:t>
      </w:r>
      <w:r>
        <w:rPr>
          <w:i/>
        </w:rPr>
        <w:t>B</w:t>
      </w:r>
      <w:r>
        <w:rPr>
          <w:i/>
          <w:vertAlign w:val="subscript"/>
        </w:rPr>
        <w:t>max</w:t>
      </w:r>
      <w:r w:rsidRPr="00B961CA">
        <w:t xml:space="preserve"> </w:t>
      </w:r>
      <w:r>
        <w:t xml:space="preserve">is derived based on the product of the maximum uplink transport block size, a suitable RTT value, </w:t>
      </w:r>
      <w:r>
        <w:rPr>
          <w:kern w:val="2"/>
        </w:rPr>
        <w:t>the number of</w:t>
      </w:r>
      <w:r>
        <w:rPr>
          <w:rFonts w:hint="eastAsia"/>
          <w:kern w:val="2"/>
        </w:rPr>
        <w:t xml:space="preserve"> layers</w:t>
      </w:r>
      <w:r>
        <w:rPr>
          <w:kern w:val="2"/>
        </w:rPr>
        <w:t xml:space="preserve">, and the number of </w:t>
      </w:r>
      <w:r>
        <w:rPr>
          <w:rFonts w:hint="eastAsia"/>
          <w:kern w:val="2"/>
        </w:rPr>
        <w:t>CC</w:t>
      </w:r>
      <w:r>
        <w:rPr>
          <w:kern w:val="2"/>
        </w:rPr>
        <w:t>s</w:t>
      </w:r>
      <w:r>
        <w:t>.</w:t>
      </w:r>
      <w:bookmarkEnd w:id="196"/>
      <w:bookmarkEnd w:id="197"/>
      <w:bookmarkEnd w:id="198"/>
      <w:bookmarkEnd w:id="199"/>
      <w:bookmarkEnd w:id="200"/>
      <w:bookmarkEnd w:id="201"/>
      <w:bookmarkEnd w:id="202"/>
      <w:bookmarkEnd w:id="203"/>
    </w:p>
    <w:p w14:paraId="66F198F8" w14:textId="77777777" w:rsidR="00295F0B" w:rsidRPr="0020007F" w:rsidRDefault="00295F0B" w:rsidP="00295F0B">
      <w:pPr>
        <w:rPr>
          <w:lang w:val="en-US"/>
        </w:rPr>
      </w:pPr>
      <w:r>
        <w:rPr>
          <w:lang w:val="en-US"/>
        </w:rPr>
        <w:t xml:space="preserve">The </w:t>
      </w:r>
      <w:r>
        <w:t>maximum uplink transport block size</w:t>
      </w:r>
      <w:r w:rsidDel="00560D80">
        <w:rPr>
          <w:lang w:val="en-US"/>
        </w:rPr>
        <w:t xml:space="preserve"> </w:t>
      </w:r>
      <w:r>
        <w:rPr>
          <w:lang w:val="en-US"/>
        </w:rPr>
        <w:t>is determined by RAN1, while the value of N can be determined by RAN2, since it is directly related to the BSR MAC CE formats.</w:t>
      </w:r>
    </w:p>
    <w:p w14:paraId="5D864F6A" w14:textId="77777777" w:rsidR="00295F0B" w:rsidRPr="0020007F" w:rsidRDefault="00295F0B" w:rsidP="006A7C0D">
      <w:pPr>
        <w:pStyle w:val="Observation"/>
      </w:pPr>
      <w:bookmarkStart w:id="204" w:name="_Toc494287919"/>
      <w:bookmarkStart w:id="205" w:name="_Toc494371332"/>
      <w:bookmarkStart w:id="206" w:name="_Toc494371350"/>
      <w:bookmarkStart w:id="207" w:name="_Toc494371372"/>
      <w:bookmarkStart w:id="208" w:name="_Toc494372125"/>
      <w:bookmarkStart w:id="209" w:name="_Toc494372143"/>
      <w:bookmarkStart w:id="210" w:name="_Toc494394506"/>
      <w:r w:rsidRPr="007B320A">
        <w:rPr>
          <w:lang w:val="en-US"/>
        </w:rPr>
        <w:t xml:space="preserve">RAN1 feedback determines the value of </w:t>
      </w:r>
      <w:r>
        <w:t>maximum uplink transport block size</w:t>
      </w:r>
      <w:bookmarkEnd w:id="204"/>
      <w:bookmarkEnd w:id="205"/>
      <w:bookmarkEnd w:id="206"/>
      <w:bookmarkEnd w:id="207"/>
      <w:bookmarkEnd w:id="208"/>
      <w:bookmarkEnd w:id="209"/>
      <w:bookmarkEnd w:id="210"/>
      <w:r w:rsidRPr="007B320A">
        <w:rPr>
          <w:lang w:val="en-US"/>
        </w:rPr>
        <w:t xml:space="preserve"> </w:t>
      </w:r>
    </w:p>
    <w:p w14:paraId="04A16FE0" w14:textId="77777777" w:rsidR="00295F0B" w:rsidRPr="0020007F" w:rsidRDefault="00295F0B" w:rsidP="00295F0B">
      <w:pPr>
        <w:pStyle w:val="Heading3"/>
        <w:rPr>
          <w:lang w:val="en-US"/>
        </w:rPr>
      </w:pPr>
      <w:r>
        <w:rPr>
          <w:lang w:val="en-US"/>
        </w:rPr>
        <w:t>BS size table for short BSR</w:t>
      </w:r>
    </w:p>
    <w:p w14:paraId="404D9A19" w14:textId="77777777" w:rsidR="00295F0B" w:rsidRDefault="00295F0B" w:rsidP="00295F0B">
      <w:r>
        <w:t xml:space="preserve">RAN2 has also agreed to keep 1-byte short BSR format like in LTE, for NR. In that case, the BS field is </w:t>
      </w:r>
      <w:r w:rsidRPr="009F5991">
        <w:t>5 bits</w:t>
      </w:r>
      <w:r>
        <w:t>. We think the short BSR has two options to report buffer status, concerning the BS size value table.</w:t>
      </w:r>
    </w:p>
    <w:p w14:paraId="7C1D93FC" w14:textId="77777777" w:rsidR="00295F0B" w:rsidRDefault="00295F0B" w:rsidP="00295F0B">
      <w:r>
        <w:t>Option 1: create a new separate BS size value table for short BSR</w:t>
      </w:r>
    </w:p>
    <w:p w14:paraId="15C321C3" w14:textId="77777777" w:rsidR="00295F0B" w:rsidRDefault="00295F0B" w:rsidP="00295F0B">
      <w:r>
        <w:t>Option 2: scale the base BS size value tables</w:t>
      </w:r>
    </w:p>
    <w:p w14:paraId="79F2E903" w14:textId="77777777" w:rsidR="00295F0B" w:rsidRDefault="00295F0B" w:rsidP="00295F0B">
      <w:r>
        <w:t>The short BSR format is typically applied when there is a small uplink grant, where it is more important to give more accurate BS information to avoid padding in the MAC PDU. In other words, it is important for the BS size table to provide a finer granularity. Therefore, we think option 1 is more reasonable to choose. The scaling of the base BS size tables may lead to a risk of reduced BS value granularities and reduced BS range.</w:t>
      </w:r>
    </w:p>
    <w:p w14:paraId="5B23E30F" w14:textId="278EB0DA" w:rsidR="00295F0B" w:rsidRPr="0020007F" w:rsidRDefault="00295F0B" w:rsidP="00295F0B">
      <w:r w:rsidRPr="0020007F">
        <w:t>In LTE, if extendedBSR-Sizes is not configured, the values taken by the Buffer Size field are defined in Table 6.1.3.1-1 in 36.</w:t>
      </w:r>
      <w:r w:rsidR="00772815">
        <w:t>321</w:t>
      </w:r>
      <w:r w:rsidRPr="0020007F">
        <w:t>. Based on that table, the maximum buffer size level assuming BS field is 5 bits would be 967 bytes. We can reuse this value as the maximum buffer size level for short BSR format in NR.</w:t>
      </w:r>
    </w:p>
    <w:p w14:paraId="0ACA9131" w14:textId="3695D773" w:rsidR="00295F0B" w:rsidRPr="0020007F" w:rsidRDefault="00BC3720" w:rsidP="00485624">
      <w:pPr>
        <w:pStyle w:val="Proposal"/>
      </w:pPr>
      <w:bookmarkStart w:id="211" w:name="_Toc494287921"/>
      <w:bookmarkStart w:id="212" w:name="_Toc494371334"/>
      <w:bookmarkStart w:id="213" w:name="_Toc494371352"/>
      <w:bookmarkStart w:id="214" w:name="_Toc494371374"/>
      <w:bookmarkStart w:id="215" w:name="_Toc494372134"/>
      <w:bookmarkStart w:id="216" w:name="_Toc494372215"/>
      <w:bookmarkStart w:id="217" w:name="_Toc494372226"/>
      <w:bookmarkStart w:id="218" w:name="_Toc494394513"/>
      <w:r>
        <w:rPr>
          <w:lang w:val="en-US"/>
        </w:rPr>
        <w:t>NR supports one BS size value table with 32 steps for short BSR format</w:t>
      </w:r>
      <w:r>
        <w:t xml:space="preserve"> using the </w:t>
      </w:r>
      <w:r w:rsidR="00295F0B">
        <w:rPr>
          <w:lang w:val="en-US"/>
        </w:rPr>
        <w:t xml:space="preserve">value of </w:t>
      </w:r>
      <w:r w:rsidR="00295F0B">
        <w:rPr>
          <w:i/>
        </w:rPr>
        <w:t>B</w:t>
      </w:r>
      <w:r w:rsidR="00295F0B">
        <w:rPr>
          <w:i/>
          <w:vertAlign w:val="subscript"/>
        </w:rPr>
        <w:t>max</w:t>
      </w:r>
      <w:r w:rsidR="00295F0B">
        <w:rPr>
          <w:lang w:val="en-US"/>
        </w:rPr>
        <w:t xml:space="preserve"> is set as 967 bytes</w:t>
      </w:r>
      <w:r>
        <w:rPr>
          <w:lang w:val="en-US"/>
        </w:rPr>
        <w:t>.</w:t>
      </w:r>
      <w:bookmarkEnd w:id="211"/>
      <w:bookmarkEnd w:id="212"/>
      <w:bookmarkEnd w:id="213"/>
      <w:bookmarkEnd w:id="214"/>
      <w:bookmarkEnd w:id="215"/>
      <w:bookmarkEnd w:id="216"/>
      <w:bookmarkEnd w:id="217"/>
      <w:bookmarkEnd w:id="218"/>
    </w:p>
    <w:p w14:paraId="3B34D064" w14:textId="77777777" w:rsidR="00C01F33" w:rsidRPr="00CE0424" w:rsidRDefault="00C01F33" w:rsidP="00CE0424">
      <w:pPr>
        <w:pStyle w:val="Heading1"/>
      </w:pPr>
      <w:r w:rsidRPr="00CE0424">
        <w:t>Conclusion</w:t>
      </w:r>
    </w:p>
    <w:p w14:paraId="7AED6C1C" w14:textId="4B69F748" w:rsidR="00485624" w:rsidRPr="00485624" w:rsidRDefault="00485624" w:rsidP="008E065E">
      <w:pPr>
        <w:pStyle w:val="BodyText"/>
        <w:rPr>
          <w:lang w:val="en-US"/>
        </w:rPr>
      </w:pPr>
      <w:r w:rsidRPr="00CA3888">
        <w:rPr>
          <w:lang w:val="en-US"/>
        </w:rPr>
        <w:t>A text proposal covering this paper and [</w:t>
      </w:r>
      <w:r w:rsidR="00467DAD" w:rsidRPr="00CA3888">
        <w:rPr>
          <w:lang w:val="en-US"/>
        </w:rPr>
        <w:t>1]</w:t>
      </w:r>
      <w:r w:rsidRPr="00CA3888">
        <w:rPr>
          <w:lang w:val="en-US"/>
        </w:rPr>
        <w:t xml:space="preserve"> can be found in </w:t>
      </w:r>
      <w:r w:rsidR="00D42ED5" w:rsidRPr="00CA3888">
        <w:rPr>
          <w:lang w:val="en-US"/>
        </w:rPr>
        <w:t>[2].</w:t>
      </w:r>
    </w:p>
    <w:p w14:paraId="559FD2CB" w14:textId="77777777" w:rsidR="006A7C0D" w:rsidRPr="00CA3888" w:rsidRDefault="00DD3917" w:rsidP="008E065E">
      <w:pPr>
        <w:pStyle w:val="BodyText"/>
        <w:rPr>
          <w:noProof/>
          <w:lang w:val="en-US"/>
        </w:rPr>
      </w:pPr>
      <w:bookmarkStart w:id="219" w:name="_Hlk494376766"/>
      <w:r w:rsidRPr="00CA3888">
        <w:rPr>
          <w:lang w:val="en-US"/>
        </w:rPr>
        <w:lastRenderedPageBreak/>
        <w:t>W</w:t>
      </w:r>
      <w:r w:rsidR="008E065E" w:rsidRPr="00CA3888">
        <w:rPr>
          <w:lang w:val="en-US"/>
        </w:rPr>
        <w:t>e made the following observations:</w:t>
      </w:r>
      <w:r w:rsidR="008E065E">
        <w:rPr>
          <w:b/>
          <w:bCs/>
        </w:rPr>
        <w:fldChar w:fldCharType="begin"/>
      </w:r>
      <w:r w:rsidR="008E065E" w:rsidRPr="00CA3888">
        <w:rPr>
          <w:b/>
          <w:bCs/>
          <w:lang w:val="en-US"/>
        </w:rPr>
        <w:instrText xml:space="preserve"> TOC \f \n \t "Observation;1" </w:instrText>
      </w:r>
      <w:r w:rsidR="008E065E">
        <w:rPr>
          <w:b/>
          <w:bCs/>
        </w:rPr>
        <w:fldChar w:fldCharType="separate"/>
      </w:r>
    </w:p>
    <w:p w14:paraId="6F66A3AA" w14:textId="77777777" w:rsidR="006A7C0D" w:rsidRPr="006A7C0D" w:rsidRDefault="006A7C0D">
      <w:pPr>
        <w:pStyle w:val="TOC1"/>
        <w:rPr>
          <w:rFonts w:asciiTheme="minorHAnsi" w:eastAsiaTheme="minorEastAsia" w:hAnsiTheme="minorHAnsi" w:cstheme="minorBidi"/>
          <w:b w:val="0"/>
          <w:sz w:val="22"/>
        </w:rPr>
      </w:pPr>
      <w:r>
        <w:t>Observation 1</w:t>
      </w:r>
      <w:r w:rsidRPr="006A7C0D">
        <w:rPr>
          <w:rFonts w:asciiTheme="minorHAnsi" w:eastAsiaTheme="minorEastAsia" w:hAnsiTheme="minorHAnsi" w:cstheme="minorBidi"/>
          <w:b w:val="0"/>
          <w:sz w:val="22"/>
        </w:rPr>
        <w:tab/>
      </w:r>
      <w:r w:rsidRPr="00CE71B7">
        <w:t>The long BSR format (baseline variant) has a 1 byte BS field for each reported LCG ID.</w:t>
      </w:r>
    </w:p>
    <w:p w14:paraId="4FA19C81" w14:textId="77777777" w:rsidR="006A7C0D" w:rsidRPr="006A7C0D" w:rsidRDefault="006A7C0D">
      <w:pPr>
        <w:pStyle w:val="TOC1"/>
        <w:rPr>
          <w:rFonts w:asciiTheme="minorHAnsi" w:eastAsiaTheme="minorEastAsia" w:hAnsiTheme="minorHAnsi" w:cstheme="minorBidi"/>
          <w:b w:val="0"/>
          <w:sz w:val="22"/>
        </w:rPr>
      </w:pPr>
      <w:r>
        <w:t>Observation 2</w:t>
      </w:r>
      <w:r w:rsidRPr="006A7C0D">
        <w:rPr>
          <w:rFonts w:asciiTheme="minorHAnsi" w:eastAsiaTheme="minorEastAsia" w:hAnsiTheme="minorHAnsi" w:cstheme="minorBidi"/>
          <w:b w:val="0"/>
          <w:sz w:val="22"/>
        </w:rPr>
        <w:tab/>
      </w:r>
      <w:r>
        <w:t>The long BSR format (baseline variant) consists of one BS field for all 8 LCGs.</w:t>
      </w:r>
    </w:p>
    <w:p w14:paraId="05FDE280" w14:textId="77777777" w:rsidR="006A7C0D" w:rsidRPr="006A7C0D" w:rsidRDefault="006A7C0D">
      <w:pPr>
        <w:pStyle w:val="TOC1"/>
        <w:rPr>
          <w:rFonts w:asciiTheme="minorHAnsi" w:eastAsiaTheme="minorEastAsia" w:hAnsiTheme="minorHAnsi" w:cstheme="minorBidi"/>
          <w:b w:val="0"/>
          <w:sz w:val="22"/>
        </w:rPr>
      </w:pPr>
      <w:r>
        <w:t>Observation 3</w:t>
      </w:r>
      <w:r w:rsidRPr="006A7C0D">
        <w:rPr>
          <w:rFonts w:asciiTheme="minorHAnsi" w:eastAsiaTheme="minorEastAsia" w:hAnsiTheme="minorHAnsi" w:cstheme="minorBidi"/>
          <w:b w:val="0"/>
          <w:sz w:val="22"/>
        </w:rPr>
        <w:tab/>
      </w:r>
      <w:r w:rsidRPr="00CE71B7">
        <w:t>The long BSR format (improved variant) has a 1 byte BS field for each reported LCG ID.</w:t>
      </w:r>
    </w:p>
    <w:p w14:paraId="77E6EF9C" w14:textId="77777777" w:rsidR="006A7C0D" w:rsidRPr="006A7C0D" w:rsidRDefault="006A7C0D">
      <w:pPr>
        <w:pStyle w:val="TOC1"/>
        <w:rPr>
          <w:rFonts w:asciiTheme="minorHAnsi" w:eastAsiaTheme="minorEastAsia" w:hAnsiTheme="minorHAnsi" w:cstheme="minorBidi"/>
          <w:b w:val="0"/>
          <w:sz w:val="22"/>
        </w:rPr>
      </w:pPr>
      <w:r>
        <w:t>Observation 4</w:t>
      </w:r>
      <w:r w:rsidRPr="006A7C0D">
        <w:rPr>
          <w:rFonts w:asciiTheme="minorHAnsi" w:eastAsiaTheme="minorEastAsia" w:hAnsiTheme="minorHAnsi" w:cstheme="minorBidi"/>
          <w:b w:val="0"/>
          <w:sz w:val="22"/>
        </w:rPr>
        <w:tab/>
      </w:r>
      <w:r w:rsidRPr="00CE71B7">
        <w:t>The long BSR format (improved variant) consists of one BS field per configured LCG in the MAC entity.</w:t>
      </w:r>
    </w:p>
    <w:p w14:paraId="71832CD4" w14:textId="77777777" w:rsidR="006A7C0D" w:rsidRPr="006A7C0D" w:rsidRDefault="006A7C0D">
      <w:pPr>
        <w:pStyle w:val="TOC1"/>
        <w:rPr>
          <w:rFonts w:asciiTheme="minorHAnsi" w:eastAsiaTheme="minorEastAsia" w:hAnsiTheme="minorHAnsi" w:cstheme="minorBidi"/>
          <w:b w:val="0"/>
          <w:sz w:val="22"/>
        </w:rPr>
      </w:pPr>
      <w:r>
        <w:t>Observation 5</w:t>
      </w:r>
      <w:r w:rsidRPr="006A7C0D">
        <w:rPr>
          <w:rFonts w:asciiTheme="minorHAnsi" w:eastAsiaTheme="minorEastAsia" w:hAnsiTheme="minorHAnsi" w:cstheme="minorBidi"/>
          <w:b w:val="0"/>
          <w:sz w:val="22"/>
        </w:rPr>
        <w:tab/>
      </w:r>
      <w:r>
        <w:t>The design approach for LTE BS size value tables should be applied for NR.</w:t>
      </w:r>
    </w:p>
    <w:p w14:paraId="505BB647" w14:textId="77777777" w:rsidR="006A7C0D" w:rsidRPr="006A7C0D" w:rsidRDefault="006A7C0D">
      <w:pPr>
        <w:pStyle w:val="TOC1"/>
        <w:rPr>
          <w:rFonts w:asciiTheme="minorHAnsi" w:eastAsiaTheme="minorEastAsia" w:hAnsiTheme="minorHAnsi" w:cstheme="minorBidi"/>
          <w:b w:val="0"/>
          <w:sz w:val="22"/>
        </w:rPr>
      </w:pPr>
      <w:r>
        <w:t>Observation 6</w:t>
      </w:r>
      <w:r w:rsidRPr="006A7C0D">
        <w:rPr>
          <w:rFonts w:asciiTheme="minorHAnsi" w:eastAsiaTheme="minorEastAsia" w:hAnsiTheme="minorHAnsi" w:cstheme="minorBidi"/>
          <w:b w:val="0"/>
          <w:sz w:val="22"/>
        </w:rPr>
        <w:tab/>
      </w:r>
      <w:r w:rsidRPr="00CE71B7">
        <w:t xml:space="preserve">RAN1 feedback determines the value of </w:t>
      </w:r>
      <w:r>
        <w:t>maximum uplink transport block size</w:t>
      </w:r>
    </w:p>
    <w:p w14:paraId="71B0ED76" w14:textId="77777777" w:rsidR="008E065E" w:rsidRPr="00CA3888" w:rsidRDefault="008E065E" w:rsidP="008E065E">
      <w:pPr>
        <w:pStyle w:val="BodyText"/>
        <w:rPr>
          <w:b/>
          <w:bCs/>
          <w:lang w:val="en-US"/>
        </w:rPr>
      </w:pPr>
      <w:r>
        <w:rPr>
          <w:b/>
          <w:bCs/>
        </w:rPr>
        <w:fldChar w:fldCharType="end"/>
      </w:r>
    </w:p>
    <w:p w14:paraId="12F31871" w14:textId="77777777" w:rsidR="006A7C0D" w:rsidRPr="00CA3888" w:rsidRDefault="00DD3917" w:rsidP="008E065E">
      <w:pPr>
        <w:pStyle w:val="BodyText"/>
        <w:rPr>
          <w:noProof/>
          <w:lang w:val="en-US"/>
        </w:rPr>
      </w:pPr>
      <w:r w:rsidRPr="00CA3888">
        <w:rPr>
          <w:lang w:val="en-US"/>
        </w:rPr>
        <w:t>W</w:t>
      </w:r>
      <w:r w:rsidR="008E065E" w:rsidRPr="00CA3888">
        <w:rPr>
          <w:lang w:val="en-US"/>
        </w:rPr>
        <w:t>e propose the following:</w:t>
      </w:r>
      <w:r w:rsidR="008E065E">
        <w:rPr>
          <w:b/>
          <w:bCs/>
        </w:rPr>
        <w:fldChar w:fldCharType="begin"/>
      </w:r>
      <w:r w:rsidR="008E065E" w:rsidRPr="00CA3888">
        <w:rPr>
          <w:b/>
          <w:bCs/>
          <w:lang w:val="en-US"/>
        </w:rPr>
        <w:instrText xml:space="preserve"> TOC \f \n \p " " \t "Proposal;1" </w:instrText>
      </w:r>
      <w:r w:rsidR="008E065E">
        <w:rPr>
          <w:b/>
          <w:bCs/>
        </w:rPr>
        <w:fldChar w:fldCharType="separate"/>
      </w:r>
    </w:p>
    <w:p w14:paraId="12FD6FF6" w14:textId="77777777" w:rsidR="006A7C0D" w:rsidRPr="006A7C0D" w:rsidRDefault="006A7C0D">
      <w:pPr>
        <w:pStyle w:val="TOC1"/>
        <w:rPr>
          <w:rFonts w:asciiTheme="minorHAnsi" w:eastAsiaTheme="minorEastAsia" w:hAnsiTheme="minorHAnsi" w:cstheme="minorBidi"/>
          <w:b w:val="0"/>
          <w:sz w:val="22"/>
        </w:rPr>
      </w:pPr>
      <w:r>
        <w:t>Proposal 1</w:t>
      </w:r>
      <w:r w:rsidRPr="006A7C0D">
        <w:rPr>
          <w:rFonts w:asciiTheme="minorHAnsi" w:eastAsiaTheme="minorEastAsia" w:hAnsiTheme="minorHAnsi" w:cstheme="minorBidi"/>
          <w:b w:val="0"/>
          <w:sz w:val="22"/>
        </w:rPr>
        <w:tab/>
      </w:r>
      <w:r>
        <w:t>The long BSR format consists of a list of 1-byte BS fields, one per configured LCG in the MAC entity.</w:t>
      </w:r>
    </w:p>
    <w:p w14:paraId="1FBCD9BB" w14:textId="77777777" w:rsidR="006A7C0D" w:rsidRPr="006A7C0D" w:rsidRDefault="006A7C0D">
      <w:pPr>
        <w:pStyle w:val="TOC1"/>
        <w:rPr>
          <w:rFonts w:asciiTheme="minorHAnsi" w:eastAsiaTheme="minorEastAsia" w:hAnsiTheme="minorHAnsi" w:cstheme="minorBidi"/>
          <w:b w:val="0"/>
          <w:sz w:val="22"/>
        </w:rPr>
      </w:pPr>
      <w:r>
        <w:t>Proposal 2</w:t>
      </w:r>
      <w:r w:rsidRPr="006A7C0D">
        <w:rPr>
          <w:rFonts w:asciiTheme="minorHAnsi" w:eastAsiaTheme="minorEastAsia" w:hAnsiTheme="minorHAnsi" w:cstheme="minorBidi"/>
          <w:b w:val="0"/>
          <w:sz w:val="22"/>
        </w:rPr>
        <w:tab/>
      </w:r>
      <w:r>
        <w:t>As in LTE, the truncated BSR carries only the BS information of the LCG with the highest priority logical channel using 1-byte short BSR format.</w:t>
      </w:r>
    </w:p>
    <w:p w14:paraId="2AF9989A" w14:textId="77777777" w:rsidR="006A7C0D" w:rsidRPr="006A7C0D" w:rsidRDefault="006A7C0D">
      <w:pPr>
        <w:pStyle w:val="TOC1"/>
        <w:rPr>
          <w:rFonts w:asciiTheme="minorHAnsi" w:eastAsiaTheme="minorEastAsia" w:hAnsiTheme="minorHAnsi" w:cstheme="minorBidi"/>
          <w:b w:val="0"/>
          <w:sz w:val="22"/>
        </w:rPr>
      </w:pPr>
      <w:r>
        <w:t>Proposal 3</w:t>
      </w:r>
      <w:r w:rsidRPr="006A7C0D">
        <w:rPr>
          <w:rFonts w:asciiTheme="minorHAnsi" w:eastAsiaTheme="minorEastAsia" w:hAnsiTheme="minorHAnsi" w:cstheme="minorBidi"/>
          <w:b w:val="0"/>
          <w:sz w:val="22"/>
        </w:rPr>
        <w:tab/>
      </w:r>
      <w:r>
        <w:t>As in LTE, NR uses the same rules at in LTE on the selection of BSR format.</w:t>
      </w:r>
    </w:p>
    <w:p w14:paraId="4460123A" w14:textId="77777777" w:rsidR="006A7C0D" w:rsidRPr="006A7C0D" w:rsidRDefault="006A7C0D">
      <w:pPr>
        <w:pStyle w:val="TOC1"/>
        <w:rPr>
          <w:rFonts w:asciiTheme="minorHAnsi" w:eastAsiaTheme="minorEastAsia" w:hAnsiTheme="minorHAnsi" w:cstheme="minorBidi"/>
          <w:b w:val="0"/>
          <w:sz w:val="22"/>
        </w:rPr>
      </w:pPr>
      <w:r>
        <w:t>Proposal 4</w:t>
      </w:r>
      <w:r w:rsidRPr="006A7C0D">
        <w:rPr>
          <w:rFonts w:asciiTheme="minorHAnsi" w:eastAsiaTheme="minorEastAsia" w:hAnsiTheme="minorHAnsi" w:cstheme="minorBidi"/>
          <w:b w:val="0"/>
          <w:sz w:val="22"/>
        </w:rPr>
        <w:tab/>
      </w:r>
      <w:r>
        <w:t>The design approach for LTE BS size value tables should be applied for NR with updated parameters (i.e.</w:t>
      </w:r>
      <w:r w:rsidRPr="00E92CD9">
        <w:rPr>
          <w:i/>
        </w:rPr>
        <w:t xml:space="preserve"> B</w:t>
      </w:r>
      <w:r w:rsidRPr="00E92CD9">
        <w:rPr>
          <w:i/>
          <w:vertAlign w:val="subscript"/>
        </w:rPr>
        <w:t>max</w:t>
      </w:r>
      <w:r>
        <w:t>,</w:t>
      </w:r>
      <w:r w:rsidRPr="00E92CD9">
        <w:rPr>
          <w:i/>
        </w:rPr>
        <w:t xml:space="preserve"> </w:t>
      </w:r>
      <w:r>
        <w:t xml:space="preserve">and </w:t>
      </w:r>
      <w:r w:rsidRPr="00E92CD9">
        <w:rPr>
          <w:i/>
        </w:rPr>
        <w:t>N)</w:t>
      </w:r>
      <w:r>
        <w:t xml:space="preserve"> but </w:t>
      </w:r>
      <w:r w:rsidRPr="00E92CD9">
        <w:rPr>
          <w:i/>
        </w:rPr>
        <w:t>B</w:t>
      </w:r>
      <w:r w:rsidRPr="00E92CD9">
        <w:rPr>
          <w:i/>
          <w:vertAlign w:val="subscript"/>
        </w:rPr>
        <w:t xml:space="preserve">min </w:t>
      </w:r>
      <w:r w:rsidRPr="00E92CD9">
        <w:rPr>
          <w:i/>
        </w:rPr>
        <w:t xml:space="preserve"> </w:t>
      </w:r>
      <w:r>
        <w:t>is set to 10 bytes, as in LTE.</w:t>
      </w:r>
    </w:p>
    <w:p w14:paraId="34A82372" w14:textId="77777777" w:rsidR="006A7C0D" w:rsidRPr="006A7C0D" w:rsidRDefault="006A7C0D">
      <w:pPr>
        <w:pStyle w:val="TOC1"/>
        <w:rPr>
          <w:rFonts w:asciiTheme="minorHAnsi" w:eastAsiaTheme="minorEastAsia" w:hAnsiTheme="minorHAnsi" w:cstheme="minorBidi"/>
          <w:b w:val="0"/>
          <w:sz w:val="22"/>
        </w:rPr>
      </w:pPr>
      <w:r>
        <w:t>Proposal 5</w:t>
      </w:r>
      <w:r w:rsidRPr="006A7C0D">
        <w:rPr>
          <w:rFonts w:asciiTheme="minorHAnsi" w:eastAsiaTheme="minorEastAsia" w:hAnsiTheme="minorHAnsi" w:cstheme="minorBidi"/>
          <w:b w:val="0"/>
          <w:sz w:val="22"/>
        </w:rPr>
        <w:tab/>
      </w:r>
      <w:r w:rsidRPr="00E92CD9">
        <w:t>NR supports one BS size value table with 256 steps for long BSR format.</w:t>
      </w:r>
    </w:p>
    <w:p w14:paraId="3164A73A" w14:textId="77777777" w:rsidR="006A7C0D" w:rsidRPr="006A7C0D" w:rsidRDefault="006A7C0D">
      <w:pPr>
        <w:pStyle w:val="TOC1"/>
        <w:rPr>
          <w:rFonts w:asciiTheme="minorHAnsi" w:eastAsiaTheme="minorEastAsia" w:hAnsiTheme="minorHAnsi" w:cstheme="minorBidi"/>
          <w:b w:val="0"/>
          <w:sz w:val="22"/>
        </w:rPr>
      </w:pPr>
      <w:r>
        <w:t>Proposal 6</w:t>
      </w:r>
      <w:r w:rsidRPr="006A7C0D">
        <w:rPr>
          <w:rFonts w:asciiTheme="minorHAnsi" w:eastAsiaTheme="minorEastAsia" w:hAnsiTheme="minorHAnsi" w:cstheme="minorBidi"/>
          <w:b w:val="0"/>
          <w:sz w:val="22"/>
        </w:rPr>
        <w:tab/>
      </w:r>
      <w:r>
        <w:t xml:space="preserve">The </w:t>
      </w:r>
      <w:r w:rsidRPr="00E92CD9">
        <w:t xml:space="preserve">value of </w:t>
      </w:r>
      <w:r w:rsidRPr="00E92CD9">
        <w:rPr>
          <w:i/>
        </w:rPr>
        <w:t>B</w:t>
      </w:r>
      <w:r w:rsidRPr="00E92CD9">
        <w:rPr>
          <w:i/>
          <w:vertAlign w:val="subscript"/>
        </w:rPr>
        <w:t>max</w:t>
      </w:r>
      <w:r>
        <w:t xml:space="preserve"> is derived based on the product of the maximum uplink transport block size, a suitable RTT value, </w:t>
      </w:r>
      <w:r w:rsidRPr="00E92CD9">
        <w:rPr>
          <w:kern w:val="2"/>
        </w:rPr>
        <w:t>the number of layers, and the number of CCs</w:t>
      </w:r>
      <w:r>
        <w:t>.</w:t>
      </w:r>
    </w:p>
    <w:p w14:paraId="7D703B9A" w14:textId="77777777" w:rsidR="006A7C0D" w:rsidRPr="006A7C0D" w:rsidRDefault="006A7C0D">
      <w:pPr>
        <w:pStyle w:val="TOC1"/>
        <w:rPr>
          <w:rFonts w:asciiTheme="minorHAnsi" w:eastAsiaTheme="minorEastAsia" w:hAnsiTheme="minorHAnsi" w:cstheme="minorBidi"/>
          <w:b w:val="0"/>
          <w:sz w:val="22"/>
        </w:rPr>
      </w:pPr>
      <w:r>
        <w:t>Proposal 7</w:t>
      </w:r>
      <w:r w:rsidRPr="006A7C0D">
        <w:rPr>
          <w:rFonts w:asciiTheme="minorHAnsi" w:eastAsiaTheme="minorEastAsia" w:hAnsiTheme="minorHAnsi" w:cstheme="minorBidi"/>
          <w:b w:val="0"/>
          <w:sz w:val="22"/>
        </w:rPr>
        <w:tab/>
      </w:r>
      <w:r w:rsidRPr="00E92CD9">
        <w:t>NR supports one BS size value table with 32 steps for short BSR format</w:t>
      </w:r>
      <w:r>
        <w:t xml:space="preserve"> using the </w:t>
      </w:r>
      <w:r w:rsidRPr="00E92CD9">
        <w:t xml:space="preserve">value of </w:t>
      </w:r>
      <w:r w:rsidRPr="00E92CD9">
        <w:rPr>
          <w:i/>
        </w:rPr>
        <w:t>B</w:t>
      </w:r>
      <w:r w:rsidRPr="00E92CD9">
        <w:rPr>
          <w:i/>
          <w:vertAlign w:val="subscript"/>
        </w:rPr>
        <w:t>max</w:t>
      </w:r>
      <w:r w:rsidRPr="00E92CD9">
        <w:t xml:space="preserve"> is set as 967 bytes.</w:t>
      </w:r>
    </w:p>
    <w:p w14:paraId="67BE4B83" w14:textId="37B466F6" w:rsidR="00C01F33" w:rsidRPr="00CA3888" w:rsidRDefault="008E065E" w:rsidP="006E062C">
      <w:pPr>
        <w:rPr>
          <w:lang w:val="en-US"/>
        </w:rPr>
      </w:pPr>
      <w:r>
        <w:rPr>
          <w:b/>
          <w:bCs/>
        </w:rPr>
        <w:fldChar w:fldCharType="end"/>
      </w:r>
      <w:bookmarkEnd w:id="219"/>
    </w:p>
    <w:p w14:paraId="0A63DDA6" w14:textId="77777777" w:rsidR="00F507D1" w:rsidRPr="00CE0424" w:rsidRDefault="00F507D1" w:rsidP="00CE0424">
      <w:pPr>
        <w:pStyle w:val="Heading1"/>
      </w:pPr>
      <w:bookmarkStart w:id="220" w:name="_In-sequence_SDU_delivery"/>
      <w:bookmarkEnd w:id="220"/>
      <w:r w:rsidRPr="00CE0424">
        <w:t>References</w:t>
      </w:r>
    </w:p>
    <w:p w14:paraId="638C7C50" w14:textId="2DF384EA" w:rsidR="00467DAD" w:rsidRDefault="00467DAD" w:rsidP="00467DAD">
      <w:pPr>
        <w:pStyle w:val="Reference"/>
      </w:pPr>
      <w:bookmarkStart w:id="221" w:name="_Ref174151459"/>
      <w:bookmarkStart w:id="222" w:name="_Ref189809556"/>
      <w:r>
        <w:t>R2-1711180, "</w:t>
      </w:r>
      <w:r w:rsidRPr="00467DAD">
        <w:t>Further aspects for BSR transmissions and cancellation</w:t>
      </w:r>
      <w:r>
        <w:t xml:space="preserve">", Ericsson, RAN2#99bis, </w:t>
      </w:r>
      <w:r w:rsidRPr="00467DAD">
        <w:t>Prague, Czech Republic, 9th – 13th October 2017</w:t>
      </w:r>
    </w:p>
    <w:p w14:paraId="4BEA6FDF" w14:textId="77777777" w:rsidR="00467DAD" w:rsidRDefault="00467DAD" w:rsidP="00467DAD">
      <w:pPr>
        <w:pStyle w:val="Reference"/>
      </w:pPr>
      <w:r>
        <w:t>R2-1711185, "B</w:t>
      </w:r>
      <w:r w:rsidRPr="00467DAD">
        <w:t>SR Text proposal</w:t>
      </w:r>
      <w:r>
        <w:t xml:space="preserve">", Ericsson, RAN2#99bis, </w:t>
      </w:r>
      <w:r w:rsidRPr="00467DAD">
        <w:t>Prague, Czech Republic, 9th – 13th October 2017</w:t>
      </w:r>
      <w:bookmarkEnd w:id="221"/>
      <w:bookmarkEnd w:id="222"/>
    </w:p>
    <w:sectPr w:rsidR="00467DA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61C7AE" w14:textId="77777777" w:rsidR="00A620EF" w:rsidRDefault="00A620EF">
      <w:r>
        <w:separator/>
      </w:r>
    </w:p>
  </w:endnote>
  <w:endnote w:type="continuationSeparator" w:id="0">
    <w:p w14:paraId="50683210" w14:textId="77777777" w:rsidR="00A620EF" w:rsidRDefault="00A62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581592" w14:textId="77777777" w:rsidR="00A620EF" w:rsidRDefault="00A620EF">
      <w:r>
        <w:separator/>
      </w:r>
    </w:p>
  </w:footnote>
  <w:footnote w:type="continuationSeparator" w:id="0">
    <w:p w14:paraId="44C70748" w14:textId="77777777" w:rsidR="00A620EF" w:rsidRDefault="00A620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1170A6"/>
    <w:multiLevelType w:val="hybridMultilevel"/>
    <w:tmpl w:val="27B4AFFC"/>
    <w:lvl w:ilvl="0" w:tplc="6ACC8AFA">
      <w:start w:val="1"/>
      <w:numFmt w:val="decimal"/>
      <w:lvlText w:val="%1."/>
      <w:lvlJc w:val="left"/>
      <w:pPr>
        <w:ind w:left="1619" w:hanging="360"/>
      </w:pPr>
      <w:rPr>
        <w:rFonts w:cs="Times New Roman"/>
      </w:rPr>
    </w:lvl>
    <w:lvl w:ilvl="1" w:tplc="10090019">
      <w:start w:val="1"/>
      <w:numFmt w:val="lowerLetter"/>
      <w:lvlText w:val="%2."/>
      <w:lvlJc w:val="left"/>
      <w:pPr>
        <w:ind w:left="2339" w:hanging="360"/>
      </w:pPr>
      <w:rPr>
        <w:rFonts w:cs="Times New Roman"/>
      </w:rPr>
    </w:lvl>
    <w:lvl w:ilvl="2" w:tplc="1009001B">
      <w:start w:val="1"/>
      <w:numFmt w:val="lowerRoman"/>
      <w:lvlText w:val="%3."/>
      <w:lvlJc w:val="right"/>
      <w:pPr>
        <w:ind w:left="3059" w:hanging="180"/>
      </w:pPr>
      <w:rPr>
        <w:rFonts w:cs="Times New Roman"/>
      </w:rPr>
    </w:lvl>
    <w:lvl w:ilvl="3" w:tplc="1009000F">
      <w:start w:val="1"/>
      <w:numFmt w:val="decimal"/>
      <w:lvlText w:val="%4."/>
      <w:lvlJc w:val="left"/>
      <w:pPr>
        <w:ind w:left="3779" w:hanging="360"/>
      </w:pPr>
      <w:rPr>
        <w:rFonts w:cs="Times New Roman"/>
      </w:rPr>
    </w:lvl>
    <w:lvl w:ilvl="4" w:tplc="10090019">
      <w:start w:val="1"/>
      <w:numFmt w:val="lowerLetter"/>
      <w:lvlText w:val="%5."/>
      <w:lvlJc w:val="left"/>
      <w:pPr>
        <w:ind w:left="4499" w:hanging="360"/>
      </w:pPr>
      <w:rPr>
        <w:rFonts w:cs="Times New Roman"/>
      </w:rPr>
    </w:lvl>
    <w:lvl w:ilvl="5" w:tplc="1009001B">
      <w:start w:val="1"/>
      <w:numFmt w:val="lowerRoman"/>
      <w:lvlText w:val="%6."/>
      <w:lvlJc w:val="right"/>
      <w:pPr>
        <w:ind w:left="5219" w:hanging="180"/>
      </w:pPr>
      <w:rPr>
        <w:rFonts w:cs="Times New Roman"/>
      </w:rPr>
    </w:lvl>
    <w:lvl w:ilvl="6" w:tplc="1009000F">
      <w:start w:val="1"/>
      <w:numFmt w:val="decimal"/>
      <w:lvlText w:val="%7."/>
      <w:lvlJc w:val="left"/>
      <w:pPr>
        <w:ind w:left="5939" w:hanging="360"/>
      </w:pPr>
      <w:rPr>
        <w:rFonts w:cs="Times New Roman"/>
      </w:rPr>
    </w:lvl>
    <w:lvl w:ilvl="7" w:tplc="10090019">
      <w:start w:val="1"/>
      <w:numFmt w:val="lowerLetter"/>
      <w:lvlText w:val="%8."/>
      <w:lvlJc w:val="left"/>
      <w:pPr>
        <w:ind w:left="6659" w:hanging="360"/>
      </w:pPr>
      <w:rPr>
        <w:rFonts w:cs="Times New Roman"/>
      </w:rPr>
    </w:lvl>
    <w:lvl w:ilvl="8" w:tplc="1009001B">
      <w:start w:val="1"/>
      <w:numFmt w:val="lowerRoman"/>
      <w:lvlText w:val="%9."/>
      <w:lvlJc w:val="right"/>
      <w:pPr>
        <w:ind w:left="7379" w:hanging="180"/>
      </w:pPr>
      <w:rPr>
        <w:rFonts w:cs="Times New Roman"/>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4"/>
  </w:num>
  <w:num w:numId="2">
    <w:abstractNumId w:val="12"/>
  </w:num>
  <w:num w:numId="3">
    <w:abstractNumId w:val="8"/>
  </w:num>
  <w:num w:numId="4">
    <w:abstractNumId w:val="9"/>
  </w:num>
  <w:num w:numId="5">
    <w:abstractNumId w:val="6"/>
  </w:num>
  <w:num w:numId="6">
    <w:abstractNumId w:val="10"/>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6664"/>
    <w:rsid w:val="000006E1"/>
    <w:rsid w:val="00002A37"/>
    <w:rsid w:val="000039F4"/>
    <w:rsid w:val="00006446"/>
    <w:rsid w:val="00006896"/>
    <w:rsid w:val="00007CDC"/>
    <w:rsid w:val="00011B28"/>
    <w:rsid w:val="00015D15"/>
    <w:rsid w:val="0002564D"/>
    <w:rsid w:val="00025ECA"/>
    <w:rsid w:val="000325B8"/>
    <w:rsid w:val="00034C15"/>
    <w:rsid w:val="00036BA1"/>
    <w:rsid w:val="00040B12"/>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472F7"/>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5F0B"/>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2F4C"/>
    <w:rsid w:val="00413AAC"/>
    <w:rsid w:val="00421105"/>
    <w:rsid w:val="004242F4"/>
    <w:rsid w:val="00427248"/>
    <w:rsid w:val="00437447"/>
    <w:rsid w:val="00441A92"/>
    <w:rsid w:val="00444F56"/>
    <w:rsid w:val="00446488"/>
    <w:rsid w:val="004517AA"/>
    <w:rsid w:val="00452CAC"/>
    <w:rsid w:val="00457565"/>
    <w:rsid w:val="00457B71"/>
    <w:rsid w:val="004669E2"/>
    <w:rsid w:val="00467DAD"/>
    <w:rsid w:val="00470C31"/>
    <w:rsid w:val="004734D0"/>
    <w:rsid w:val="0047556B"/>
    <w:rsid w:val="00477768"/>
    <w:rsid w:val="00485624"/>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A7C0D"/>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815"/>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664"/>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4B06"/>
    <w:rsid w:val="00A17F63"/>
    <w:rsid w:val="00A2052C"/>
    <w:rsid w:val="00A2193B"/>
    <w:rsid w:val="00A2351A"/>
    <w:rsid w:val="00A264A9"/>
    <w:rsid w:val="00A27785"/>
    <w:rsid w:val="00A30187"/>
    <w:rsid w:val="00A3448A"/>
    <w:rsid w:val="00A36297"/>
    <w:rsid w:val="00A41E2B"/>
    <w:rsid w:val="00A45B74"/>
    <w:rsid w:val="00A52E1D"/>
    <w:rsid w:val="00A61499"/>
    <w:rsid w:val="00A620EF"/>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6765"/>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3720"/>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A388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054C"/>
    <w:rsid w:val="00D0349B"/>
    <w:rsid w:val="00D10249"/>
    <w:rsid w:val="00D115C3"/>
    <w:rsid w:val="00D11897"/>
    <w:rsid w:val="00D13135"/>
    <w:rsid w:val="00D13E4E"/>
    <w:rsid w:val="00D239A7"/>
    <w:rsid w:val="00D23F47"/>
    <w:rsid w:val="00D36E71"/>
    <w:rsid w:val="00D37D87"/>
    <w:rsid w:val="00D40B33"/>
    <w:rsid w:val="00D42ED5"/>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3917"/>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0A828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A3888"/>
    <w:pPr>
      <w:spacing w:after="160" w:line="259" w:lineRule="auto"/>
    </w:pPr>
    <w:rPr>
      <w:rFonts w:ascii="Arial" w:eastAsiaTheme="minorEastAsia" w:hAnsi="Arial" w:cstheme="minorBidi"/>
      <w:szCs w:val="22"/>
      <w:lang w:val="sv-SE"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Char"/>
    <w:next w:val="Normal"/>
    <w:link w:val="Heading1Char"/>
    <w:qFormat/>
    <w:rsid w:val="00A14B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Heading 2 Char,Char Char"/>
    <w:basedOn w:val="Heading1"/>
    <w:next w:val="Normal"/>
    <w:qFormat/>
    <w:rsid w:val="00A14B0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14B0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Heading3"/>
    <w:next w:val="Normal"/>
    <w:qFormat/>
    <w:rsid w:val="00A14B06"/>
    <w:pPr>
      <w:numPr>
        <w:ilvl w:val="3"/>
      </w:numPr>
      <w:outlineLvl w:val="3"/>
    </w:pPr>
    <w:rPr>
      <w:sz w:val="24"/>
      <w:szCs w:val="24"/>
    </w:rPr>
  </w:style>
  <w:style w:type="paragraph" w:styleId="Heading5">
    <w:name w:val="heading 5"/>
    <w:basedOn w:val="Heading4"/>
    <w:next w:val="Normal"/>
    <w:qFormat/>
    <w:rsid w:val="00A14B06"/>
    <w:pPr>
      <w:numPr>
        <w:ilvl w:val="4"/>
      </w:numPr>
      <w:outlineLvl w:val="4"/>
    </w:pPr>
    <w:rPr>
      <w:sz w:val="22"/>
      <w:szCs w:val="22"/>
    </w:rPr>
  </w:style>
  <w:style w:type="paragraph" w:styleId="Heading6">
    <w:name w:val="heading 6"/>
    <w:basedOn w:val="Normal"/>
    <w:next w:val="Normal"/>
    <w:qFormat/>
    <w:rsid w:val="00A14B06"/>
    <w:pPr>
      <w:keepNext/>
      <w:keepLines/>
      <w:numPr>
        <w:ilvl w:val="5"/>
        <w:numId w:val="1"/>
      </w:numPr>
      <w:spacing w:before="120"/>
      <w:outlineLvl w:val="5"/>
    </w:pPr>
    <w:rPr>
      <w:rFonts w:cs="Arial"/>
    </w:rPr>
  </w:style>
  <w:style w:type="paragraph" w:styleId="Heading7">
    <w:name w:val="heading 7"/>
    <w:basedOn w:val="Normal"/>
    <w:next w:val="Normal"/>
    <w:qFormat/>
    <w:rsid w:val="00A14B06"/>
    <w:pPr>
      <w:keepNext/>
      <w:keepLines/>
      <w:numPr>
        <w:ilvl w:val="6"/>
        <w:numId w:val="1"/>
      </w:numPr>
      <w:spacing w:before="120"/>
      <w:outlineLvl w:val="6"/>
    </w:pPr>
    <w:rPr>
      <w:rFonts w:cs="Arial"/>
    </w:rPr>
  </w:style>
  <w:style w:type="paragraph" w:styleId="Heading8">
    <w:name w:val="heading 8"/>
    <w:basedOn w:val="Heading7"/>
    <w:next w:val="Normal"/>
    <w:qFormat/>
    <w:rsid w:val="00A14B06"/>
    <w:pPr>
      <w:numPr>
        <w:ilvl w:val="7"/>
      </w:numPr>
      <w:outlineLvl w:val="7"/>
    </w:pPr>
  </w:style>
  <w:style w:type="paragraph" w:styleId="Heading9">
    <w:name w:val="heading 9"/>
    <w:basedOn w:val="Heading8"/>
    <w:next w:val="Normal"/>
    <w:qFormat/>
    <w:rsid w:val="00A14B06"/>
    <w:pPr>
      <w:numPr>
        <w:ilvl w:val="8"/>
      </w:numPr>
      <w:outlineLvl w:val="8"/>
    </w:pPr>
  </w:style>
  <w:style w:type="character" w:default="1" w:styleId="DefaultParagraphFont">
    <w:name w:val="Default Paragraph Font"/>
    <w:uiPriority w:val="1"/>
    <w:semiHidden/>
    <w:unhideWhenUsed/>
    <w:rsid w:val="00CA388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A3888"/>
  </w:style>
  <w:style w:type="paragraph" w:styleId="TOC8">
    <w:name w:val="toc 8"/>
    <w:basedOn w:val="TOC1"/>
    <w:semiHidden/>
    <w:rsid w:val="00A14B06"/>
    <w:pPr>
      <w:spacing w:before="180"/>
      <w:ind w:left="2693" w:hanging="2693"/>
    </w:pPr>
    <w:rPr>
      <w:b w:val="0"/>
      <w:bCs/>
    </w:rPr>
  </w:style>
  <w:style w:type="paragraph" w:styleId="TOC1">
    <w:name w:val="toc 1"/>
    <w:aliases w:val="Observation TOC2"/>
    <w:uiPriority w:val="39"/>
    <w:rsid w:val="00A14B0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14B06"/>
    <w:pPr>
      <w:keepNext/>
      <w:keepLines/>
      <w:spacing w:before="180"/>
      <w:jc w:val="center"/>
    </w:pPr>
  </w:style>
  <w:style w:type="paragraph" w:styleId="Caption">
    <w:name w:val="caption"/>
    <w:basedOn w:val="Normal"/>
    <w:next w:val="Normal"/>
    <w:qFormat/>
    <w:rsid w:val="00A14B06"/>
    <w:pPr>
      <w:spacing w:after="240"/>
      <w:jc w:val="center"/>
    </w:pPr>
    <w:rPr>
      <w:b/>
      <w:bCs/>
    </w:rPr>
  </w:style>
  <w:style w:type="paragraph" w:styleId="TOC5">
    <w:name w:val="toc 5"/>
    <w:aliases w:val="Observation TOC"/>
    <w:basedOn w:val="TOC4"/>
    <w:semiHidden/>
    <w:rsid w:val="00A14B06"/>
    <w:pPr>
      <w:tabs>
        <w:tab w:val="right" w:pos="1701"/>
      </w:tabs>
      <w:ind w:left="1701" w:hanging="1701"/>
    </w:pPr>
  </w:style>
  <w:style w:type="paragraph" w:styleId="TOC4">
    <w:name w:val="toc 4"/>
    <w:basedOn w:val="TOC3"/>
    <w:semiHidden/>
    <w:rsid w:val="00A14B06"/>
    <w:pPr>
      <w:ind w:left="1418" w:hanging="1418"/>
    </w:pPr>
  </w:style>
  <w:style w:type="paragraph" w:styleId="TOC3">
    <w:name w:val="toc 3"/>
    <w:basedOn w:val="TOC2"/>
    <w:semiHidden/>
    <w:rsid w:val="00A14B06"/>
    <w:pPr>
      <w:ind w:left="1134" w:hanging="1134"/>
    </w:pPr>
  </w:style>
  <w:style w:type="paragraph" w:styleId="TOC2">
    <w:name w:val="toc 2"/>
    <w:basedOn w:val="TOC1"/>
    <w:semiHidden/>
    <w:rsid w:val="00A14B06"/>
    <w:pPr>
      <w:keepNext w:val="0"/>
      <w:spacing w:before="0"/>
      <w:ind w:left="851" w:hanging="851"/>
    </w:pPr>
    <w:rPr>
      <w:szCs w:val="20"/>
    </w:rPr>
  </w:style>
  <w:style w:type="paragraph" w:styleId="Index2">
    <w:name w:val="index 2"/>
    <w:basedOn w:val="Index1"/>
    <w:semiHidden/>
    <w:rsid w:val="00A14B06"/>
    <w:pPr>
      <w:ind w:left="284"/>
    </w:pPr>
  </w:style>
  <w:style w:type="paragraph" w:styleId="Index1">
    <w:name w:val="index 1"/>
    <w:basedOn w:val="Normal"/>
    <w:semiHidden/>
    <w:rsid w:val="00A14B06"/>
    <w:pPr>
      <w:keepLines/>
      <w:spacing w:after="0"/>
    </w:pPr>
  </w:style>
  <w:style w:type="paragraph" w:styleId="DocumentMap">
    <w:name w:val="Document Map"/>
    <w:basedOn w:val="Normal"/>
    <w:semiHidden/>
    <w:rsid w:val="00A14B06"/>
    <w:pPr>
      <w:shd w:val="clear" w:color="auto" w:fill="000080"/>
    </w:pPr>
    <w:rPr>
      <w:rFonts w:ascii="Tahoma" w:hAnsi="Tahoma" w:cs="Tahoma"/>
    </w:rPr>
  </w:style>
  <w:style w:type="paragraph" w:styleId="ListNumber2">
    <w:name w:val="List Number 2"/>
    <w:basedOn w:val="ListNumber"/>
    <w:rsid w:val="00A14B06"/>
    <w:pPr>
      <w:ind w:left="851"/>
    </w:pPr>
  </w:style>
  <w:style w:type="paragraph" w:styleId="ListNumber">
    <w:name w:val="List Number"/>
    <w:basedOn w:val="List"/>
    <w:rsid w:val="00A14B06"/>
  </w:style>
  <w:style w:type="paragraph" w:styleId="List">
    <w:name w:val="List"/>
    <w:basedOn w:val="Normal"/>
    <w:rsid w:val="00A14B06"/>
    <w:pPr>
      <w:ind w:left="568" w:hanging="284"/>
    </w:pPr>
  </w:style>
  <w:style w:type="paragraph" w:styleId="Header">
    <w:name w:val="header"/>
    <w:link w:val="HeaderChar"/>
    <w:rsid w:val="00A14B0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14B06"/>
    <w:rPr>
      <w:b/>
      <w:bCs/>
      <w:position w:val="6"/>
      <w:sz w:val="16"/>
      <w:szCs w:val="16"/>
    </w:rPr>
  </w:style>
  <w:style w:type="paragraph" w:styleId="FootnoteText">
    <w:name w:val="footnote text"/>
    <w:basedOn w:val="Normal"/>
    <w:semiHidden/>
    <w:rsid w:val="00A14B06"/>
    <w:pPr>
      <w:keepLines/>
      <w:spacing w:after="0"/>
      <w:ind w:left="454" w:hanging="454"/>
    </w:pPr>
    <w:rPr>
      <w:sz w:val="16"/>
      <w:szCs w:val="16"/>
    </w:rPr>
  </w:style>
  <w:style w:type="paragraph" w:customStyle="1" w:styleId="3GPPHeader">
    <w:name w:val="3GPP_Header"/>
    <w:basedOn w:val="Normal"/>
    <w:rsid w:val="00A14B06"/>
    <w:pPr>
      <w:tabs>
        <w:tab w:val="left" w:pos="1701"/>
        <w:tab w:val="right" w:pos="9639"/>
      </w:tabs>
      <w:spacing w:after="240"/>
    </w:pPr>
    <w:rPr>
      <w:b/>
      <w:sz w:val="24"/>
    </w:rPr>
  </w:style>
  <w:style w:type="paragraph" w:styleId="TOC9">
    <w:name w:val="toc 9"/>
    <w:basedOn w:val="TOC8"/>
    <w:semiHidden/>
    <w:rsid w:val="00A14B06"/>
    <w:pPr>
      <w:ind w:left="1418" w:hanging="1418"/>
    </w:pPr>
  </w:style>
  <w:style w:type="paragraph" w:styleId="TOC6">
    <w:name w:val="toc 6"/>
    <w:basedOn w:val="TOC5"/>
    <w:next w:val="Normal"/>
    <w:semiHidden/>
    <w:rsid w:val="00A14B06"/>
    <w:pPr>
      <w:ind w:left="1985" w:hanging="1985"/>
    </w:pPr>
  </w:style>
  <w:style w:type="paragraph" w:styleId="TOC7">
    <w:name w:val="toc 7"/>
    <w:basedOn w:val="TOC6"/>
    <w:next w:val="Normal"/>
    <w:semiHidden/>
    <w:rsid w:val="00A14B06"/>
    <w:pPr>
      <w:ind w:left="2268" w:hanging="2268"/>
    </w:pPr>
  </w:style>
  <w:style w:type="paragraph" w:styleId="ListBullet2">
    <w:name w:val="List Bullet 2"/>
    <w:basedOn w:val="ListBullet"/>
    <w:rsid w:val="00A14B06"/>
    <w:pPr>
      <w:numPr>
        <w:numId w:val="6"/>
      </w:numPr>
    </w:pPr>
  </w:style>
  <w:style w:type="paragraph" w:styleId="ListBullet">
    <w:name w:val="List Bullet"/>
    <w:basedOn w:val="BodyText"/>
    <w:rsid w:val="00A14B06"/>
    <w:pPr>
      <w:numPr>
        <w:numId w:val="5"/>
      </w:numPr>
    </w:pPr>
  </w:style>
  <w:style w:type="paragraph" w:styleId="ListBullet3">
    <w:name w:val="List Bullet 3"/>
    <w:basedOn w:val="ListBullet2"/>
    <w:rsid w:val="00A14B06"/>
    <w:pPr>
      <w:numPr>
        <w:numId w:val="7"/>
      </w:numPr>
    </w:pPr>
  </w:style>
  <w:style w:type="paragraph" w:customStyle="1" w:styleId="EQ">
    <w:name w:val="EQ"/>
    <w:basedOn w:val="Normal"/>
    <w:next w:val="Normal"/>
    <w:rsid w:val="00A14B06"/>
    <w:pPr>
      <w:keepLines/>
      <w:tabs>
        <w:tab w:val="center" w:pos="4536"/>
        <w:tab w:val="right" w:pos="9072"/>
      </w:tabs>
      <w:spacing w:after="180"/>
    </w:pPr>
    <w:rPr>
      <w:noProof/>
      <w:lang w:eastAsia="en-US"/>
    </w:rPr>
  </w:style>
  <w:style w:type="paragraph" w:styleId="List2">
    <w:name w:val="List 2"/>
    <w:basedOn w:val="List"/>
    <w:rsid w:val="00A14B06"/>
    <w:pPr>
      <w:ind w:left="851"/>
    </w:pPr>
  </w:style>
  <w:style w:type="paragraph" w:styleId="List3">
    <w:name w:val="List 3"/>
    <w:basedOn w:val="List2"/>
    <w:rsid w:val="00A14B06"/>
    <w:pPr>
      <w:ind w:left="1135"/>
    </w:pPr>
  </w:style>
  <w:style w:type="paragraph" w:styleId="List4">
    <w:name w:val="List 4"/>
    <w:basedOn w:val="List3"/>
    <w:rsid w:val="00A14B06"/>
    <w:pPr>
      <w:ind w:left="1418"/>
    </w:pPr>
  </w:style>
  <w:style w:type="paragraph" w:styleId="List5">
    <w:name w:val="List 5"/>
    <w:basedOn w:val="List4"/>
    <w:rsid w:val="00A14B06"/>
    <w:pPr>
      <w:ind w:left="1702"/>
    </w:pPr>
  </w:style>
  <w:style w:type="paragraph" w:customStyle="1" w:styleId="EditorsNote">
    <w:name w:val="Editor's Note"/>
    <w:basedOn w:val="Normal"/>
    <w:rsid w:val="00A14B06"/>
    <w:pPr>
      <w:keepLines/>
      <w:spacing w:after="180"/>
      <w:ind w:left="1135" w:hanging="851"/>
    </w:pPr>
    <w:rPr>
      <w:color w:val="FF0000"/>
      <w:lang w:eastAsia="en-US"/>
    </w:rPr>
  </w:style>
  <w:style w:type="paragraph" w:styleId="ListBullet4">
    <w:name w:val="List Bullet 4"/>
    <w:basedOn w:val="ListBullet3"/>
    <w:rsid w:val="00A14B06"/>
    <w:pPr>
      <w:numPr>
        <w:numId w:val="8"/>
      </w:numPr>
    </w:pPr>
  </w:style>
  <w:style w:type="paragraph" w:styleId="ListBullet5">
    <w:name w:val="List Bullet 5"/>
    <w:basedOn w:val="ListBullet4"/>
    <w:rsid w:val="00A14B06"/>
    <w:pPr>
      <w:numPr>
        <w:numId w:val="4"/>
      </w:numPr>
    </w:pPr>
  </w:style>
  <w:style w:type="paragraph" w:styleId="Footer">
    <w:name w:val="footer"/>
    <w:basedOn w:val="Header"/>
    <w:semiHidden/>
    <w:rsid w:val="00A14B06"/>
    <w:pPr>
      <w:jc w:val="center"/>
    </w:pPr>
    <w:rPr>
      <w:i/>
      <w:iCs/>
    </w:rPr>
  </w:style>
  <w:style w:type="paragraph" w:customStyle="1" w:styleId="Reference">
    <w:name w:val="Reference"/>
    <w:basedOn w:val="Normal"/>
    <w:rsid w:val="00A14B06"/>
    <w:pPr>
      <w:numPr>
        <w:numId w:val="2"/>
      </w:numPr>
    </w:pPr>
  </w:style>
  <w:style w:type="paragraph" w:styleId="BalloonText">
    <w:name w:val="Balloon Text"/>
    <w:basedOn w:val="Normal"/>
    <w:semiHidden/>
    <w:rsid w:val="00A14B06"/>
    <w:rPr>
      <w:rFonts w:ascii="Tahoma" w:hAnsi="Tahoma" w:cs="Tahoma"/>
      <w:sz w:val="16"/>
      <w:szCs w:val="16"/>
    </w:rPr>
  </w:style>
  <w:style w:type="character" w:styleId="PageNumber">
    <w:name w:val="page number"/>
    <w:basedOn w:val="DefaultParagraphFont"/>
    <w:semiHidden/>
    <w:rsid w:val="00A14B06"/>
  </w:style>
  <w:style w:type="paragraph" w:styleId="BodyText">
    <w:name w:val="Body Text"/>
    <w:basedOn w:val="Normal"/>
    <w:link w:val="BodyTextChar"/>
    <w:rsid w:val="00A14B06"/>
  </w:style>
  <w:style w:type="character" w:styleId="Hyperlink">
    <w:name w:val="Hyperlink"/>
    <w:uiPriority w:val="99"/>
    <w:rsid w:val="00A14B06"/>
    <w:rPr>
      <w:color w:val="0000FF"/>
      <w:u w:val="single"/>
      <w:lang w:val="en-GB"/>
    </w:rPr>
  </w:style>
  <w:style w:type="character" w:styleId="FollowedHyperlink">
    <w:name w:val="FollowedHyperlink"/>
    <w:semiHidden/>
    <w:rsid w:val="00A14B06"/>
    <w:rPr>
      <w:color w:val="FF0000"/>
      <w:u w:val="single"/>
    </w:rPr>
  </w:style>
  <w:style w:type="character" w:styleId="CommentReference">
    <w:name w:val="annotation reference"/>
    <w:semiHidden/>
    <w:rsid w:val="00A14B06"/>
    <w:rPr>
      <w:sz w:val="16"/>
      <w:szCs w:val="16"/>
    </w:rPr>
  </w:style>
  <w:style w:type="paragraph" w:styleId="CommentText">
    <w:name w:val="annotation text"/>
    <w:basedOn w:val="Normal"/>
    <w:link w:val="CommentTextChar"/>
    <w:semiHidden/>
    <w:rsid w:val="00A14B06"/>
  </w:style>
  <w:style w:type="paragraph" w:styleId="CommentSubject">
    <w:name w:val="annotation subject"/>
    <w:basedOn w:val="CommentText"/>
    <w:next w:val="CommentText"/>
    <w:semiHidden/>
    <w:rsid w:val="00A14B06"/>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A14B06"/>
    <w:rPr>
      <w:rFonts w:ascii="Arial" w:hAnsi="Arial" w:cs="Arial"/>
      <w:sz w:val="36"/>
      <w:szCs w:val="36"/>
      <w:lang w:val="en-GB" w:eastAsia="zh-CN"/>
    </w:rPr>
  </w:style>
  <w:style w:type="paragraph" w:customStyle="1" w:styleId="B1">
    <w:name w:val="B1"/>
    <w:basedOn w:val="List"/>
    <w:link w:val="B1Char"/>
    <w:rsid w:val="00A14B06"/>
    <w:pPr>
      <w:spacing w:after="180"/>
    </w:pPr>
    <w:rPr>
      <w:lang w:eastAsia="en-US"/>
    </w:rPr>
  </w:style>
  <w:style w:type="paragraph" w:customStyle="1" w:styleId="B2">
    <w:name w:val="B2"/>
    <w:basedOn w:val="List2"/>
    <w:link w:val="B2Car"/>
    <w:rsid w:val="00A14B06"/>
    <w:pPr>
      <w:spacing w:after="180"/>
    </w:pPr>
    <w:rPr>
      <w:lang w:eastAsia="en-US"/>
    </w:rPr>
  </w:style>
  <w:style w:type="paragraph" w:customStyle="1" w:styleId="B3">
    <w:name w:val="B3"/>
    <w:basedOn w:val="List3"/>
    <w:rsid w:val="00A14B06"/>
    <w:pPr>
      <w:spacing w:after="180"/>
    </w:pPr>
    <w:rPr>
      <w:lang w:eastAsia="en-US"/>
    </w:rPr>
  </w:style>
  <w:style w:type="paragraph" w:customStyle="1" w:styleId="B4">
    <w:name w:val="B4"/>
    <w:basedOn w:val="List4"/>
    <w:rsid w:val="00A14B06"/>
    <w:pPr>
      <w:spacing w:after="180"/>
    </w:pPr>
    <w:rPr>
      <w:lang w:eastAsia="en-US"/>
    </w:rPr>
  </w:style>
  <w:style w:type="paragraph" w:customStyle="1" w:styleId="Proposal">
    <w:name w:val="Proposal"/>
    <w:basedOn w:val="Normal"/>
    <w:rsid w:val="00A14B06"/>
    <w:pPr>
      <w:numPr>
        <w:numId w:val="3"/>
      </w:numPr>
      <w:tabs>
        <w:tab w:val="clear" w:pos="1304"/>
        <w:tab w:val="left" w:pos="1701"/>
      </w:tabs>
      <w:ind w:left="1701" w:hanging="1701"/>
    </w:pPr>
    <w:rPr>
      <w:b/>
      <w:bCs/>
    </w:rPr>
  </w:style>
  <w:style w:type="character" w:customStyle="1" w:styleId="BodyTextChar">
    <w:name w:val="Body Text Char"/>
    <w:link w:val="BodyText"/>
    <w:rsid w:val="00A14B06"/>
    <w:rPr>
      <w:rFonts w:ascii="Arial" w:hAnsi="Arial"/>
      <w:lang w:val="en-GB" w:eastAsia="zh-CN"/>
    </w:rPr>
  </w:style>
  <w:style w:type="paragraph" w:customStyle="1" w:styleId="B5">
    <w:name w:val="B5"/>
    <w:basedOn w:val="List5"/>
    <w:rsid w:val="00A14B06"/>
    <w:pPr>
      <w:spacing w:after="180"/>
    </w:pPr>
    <w:rPr>
      <w:lang w:eastAsia="en-US"/>
    </w:rPr>
  </w:style>
  <w:style w:type="paragraph" w:customStyle="1" w:styleId="EX">
    <w:name w:val="EX"/>
    <w:basedOn w:val="Normal"/>
    <w:rsid w:val="00A14B06"/>
    <w:pPr>
      <w:keepLines/>
      <w:spacing w:after="180"/>
      <w:ind w:left="1702" w:hanging="1418"/>
    </w:pPr>
    <w:rPr>
      <w:lang w:eastAsia="en-US"/>
    </w:rPr>
  </w:style>
  <w:style w:type="paragraph" w:customStyle="1" w:styleId="EW">
    <w:name w:val="EW"/>
    <w:basedOn w:val="EX"/>
    <w:rsid w:val="00A14B06"/>
    <w:pPr>
      <w:spacing w:after="0"/>
    </w:pPr>
  </w:style>
  <w:style w:type="paragraph" w:customStyle="1" w:styleId="TAL">
    <w:name w:val="TAL"/>
    <w:basedOn w:val="Normal"/>
    <w:rsid w:val="00A14B06"/>
    <w:pPr>
      <w:keepNext/>
      <w:keepLines/>
      <w:spacing w:after="0"/>
    </w:pPr>
    <w:rPr>
      <w:sz w:val="18"/>
      <w:lang w:eastAsia="en-US"/>
    </w:rPr>
  </w:style>
  <w:style w:type="paragraph" w:customStyle="1" w:styleId="TAC">
    <w:name w:val="TAC"/>
    <w:basedOn w:val="TAL"/>
    <w:rsid w:val="00A14B06"/>
    <w:pPr>
      <w:jc w:val="center"/>
    </w:pPr>
  </w:style>
  <w:style w:type="paragraph" w:customStyle="1" w:styleId="TAH">
    <w:name w:val="TAH"/>
    <w:basedOn w:val="TAC"/>
    <w:rsid w:val="00A14B06"/>
    <w:rPr>
      <w:b/>
    </w:rPr>
  </w:style>
  <w:style w:type="paragraph" w:customStyle="1" w:styleId="TAN">
    <w:name w:val="TAN"/>
    <w:basedOn w:val="TAL"/>
    <w:rsid w:val="00A14B06"/>
    <w:pPr>
      <w:ind w:left="851" w:hanging="851"/>
    </w:pPr>
  </w:style>
  <w:style w:type="paragraph" w:customStyle="1" w:styleId="TAR">
    <w:name w:val="TAR"/>
    <w:basedOn w:val="TAL"/>
    <w:rsid w:val="00A14B06"/>
    <w:pPr>
      <w:jc w:val="right"/>
    </w:pPr>
  </w:style>
  <w:style w:type="paragraph" w:customStyle="1" w:styleId="TH">
    <w:name w:val="TH"/>
    <w:basedOn w:val="Normal"/>
    <w:rsid w:val="00A14B06"/>
    <w:pPr>
      <w:keepNext/>
      <w:keepLines/>
      <w:spacing w:before="60" w:after="180"/>
      <w:jc w:val="center"/>
    </w:pPr>
    <w:rPr>
      <w:b/>
      <w:lang w:eastAsia="en-US"/>
    </w:rPr>
  </w:style>
  <w:style w:type="paragraph" w:customStyle="1" w:styleId="TF">
    <w:name w:val="TF"/>
    <w:basedOn w:val="TH"/>
    <w:rsid w:val="00A14B06"/>
    <w:pPr>
      <w:keepNext w:val="0"/>
      <w:spacing w:before="0" w:after="240"/>
    </w:pPr>
  </w:style>
  <w:style w:type="paragraph" w:customStyle="1" w:styleId="TT">
    <w:name w:val="TT"/>
    <w:basedOn w:val="Heading1"/>
    <w:next w:val="Normal"/>
    <w:rsid w:val="00A14B06"/>
    <w:pPr>
      <w:numPr>
        <w:numId w:val="0"/>
      </w:numPr>
      <w:ind w:left="1134" w:hanging="1134"/>
      <w:outlineLvl w:val="9"/>
    </w:pPr>
    <w:rPr>
      <w:rFonts w:cs="Times New Roman"/>
      <w:szCs w:val="20"/>
      <w:lang w:eastAsia="en-US"/>
    </w:rPr>
  </w:style>
  <w:style w:type="paragraph" w:customStyle="1" w:styleId="ZA">
    <w:name w:val="ZA"/>
    <w:rsid w:val="00A14B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14B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14B0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14B0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14B06"/>
  </w:style>
  <w:style w:type="paragraph" w:customStyle="1" w:styleId="ZH">
    <w:name w:val="ZH"/>
    <w:rsid w:val="00A14B0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14B0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14B06"/>
    <w:pPr>
      <w:framePr w:hRule="auto" w:wrap="notBeside" w:y="852"/>
    </w:pPr>
    <w:rPr>
      <w:i w:val="0"/>
      <w:sz w:val="40"/>
    </w:rPr>
  </w:style>
  <w:style w:type="paragraph" w:customStyle="1" w:styleId="ZU">
    <w:name w:val="ZU"/>
    <w:rsid w:val="00A14B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14B06"/>
    <w:pPr>
      <w:framePr w:wrap="notBeside" w:y="16161"/>
    </w:pPr>
  </w:style>
  <w:style w:type="paragraph" w:customStyle="1" w:styleId="FP">
    <w:name w:val="FP"/>
    <w:basedOn w:val="Normal"/>
    <w:rsid w:val="00A14B06"/>
    <w:pPr>
      <w:spacing w:after="0"/>
    </w:pPr>
    <w:rPr>
      <w:lang w:eastAsia="en-US"/>
    </w:rPr>
  </w:style>
  <w:style w:type="paragraph" w:customStyle="1" w:styleId="Observation">
    <w:name w:val="Observation"/>
    <w:basedOn w:val="Proposal"/>
    <w:qFormat/>
    <w:rsid w:val="00A14B06"/>
    <w:pPr>
      <w:numPr>
        <w:numId w:val="13"/>
      </w:numPr>
      <w:ind w:left="1701" w:hanging="1701"/>
    </w:pPr>
  </w:style>
  <w:style w:type="paragraph" w:styleId="TableofFigures">
    <w:name w:val="table of figures"/>
    <w:basedOn w:val="Normal"/>
    <w:next w:val="Normal"/>
    <w:uiPriority w:val="99"/>
    <w:rsid w:val="00A14B06"/>
    <w:pPr>
      <w:ind w:left="1418" w:hanging="1418"/>
    </w:pPr>
    <w:rPr>
      <w:b/>
    </w:rPr>
  </w:style>
  <w:style w:type="paragraph" w:customStyle="1" w:styleId="Doc-text2">
    <w:name w:val="Doc-text2"/>
    <w:basedOn w:val="Normal"/>
    <w:link w:val="Doc-text2Char"/>
    <w:qFormat/>
    <w:rsid w:val="00A14B06"/>
    <w:pPr>
      <w:tabs>
        <w:tab w:val="left" w:pos="1622"/>
      </w:tabs>
      <w:spacing w:after="0"/>
      <w:ind w:left="1622" w:hanging="363"/>
    </w:pPr>
    <w:rPr>
      <w:rFonts w:eastAsia="MS Mincho"/>
      <w:szCs w:val="24"/>
      <w:lang w:eastAsia="en-GB"/>
    </w:rPr>
  </w:style>
  <w:style w:type="character" w:customStyle="1" w:styleId="Doc-text2Char">
    <w:name w:val="Doc-text2 Char"/>
    <w:link w:val="Doc-text2"/>
    <w:rsid w:val="00A14B06"/>
    <w:rPr>
      <w:rFonts w:ascii="Arial" w:eastAsia="MS Mincho" w:hAnsi="Arial"/>
      <w:szCs w:val="24"/>
      <w:lang w:val="en-GB" w:eastAsia="en-GB"/>
    </w:rPr>
  </w:style>
  <w:style w:type="character" w:customStyle="1" w:styleId="HeaderChar">
    <w:name w:val="Header Char"/>
    <w:basedOn w:val="DefaultParagraphFont"/>
    <w:link w:val="Header"/>
    <w:locked/>
    <w:rsid w:val="00295F0B"/>
    <w:rPr>
      <w:rFonts w:ascii="Arial" w:hAnsi="Arial" w:cs="Arial"/>
      <w:b/>
      <w:bCs/>
      <w:noProof/>
      <w:sz w:val="18"/>
      <w:szCs w:val="18"/>
      <w:lang w:eastAsia="zh-CN"/>
    </w:rPr>
  </w:style>
  <w:style w:type="character" w:customStyle="1" w:styleId="B1Char">
    <w:name w:val="B1 Char"/>
    <w:link w:val="B1"/>
    <w:locked/>
    <w:rsid w:val="00295F0B"/>
    <w:rPr>
      <w:rFonts w:ascii="Arial" w:hAnsi="Arial"/>
      <w:lang w:val="en-GB"/>
    </w:rPr>
  </w:style>
  <w:style w:type="character" w:customStyle="1" w:styleId="B2Car">
    <w:name w:val="B2 Car"/>
    <w:link w:val="B2"/>
    <w:locked/>
    <w:rsid w:val="00295F0B"/>
    <w:rPr>
      <w:rFonts w:ascii="Arial" w:hAnsi="Arial"/>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95F0B"/>
    <w:rPr>
      <w:rFonts w:ascii="Arial" w:hAnsi="Arial" w:cs="Arial"/>
      <w:sz w:val="28"/>
      <w:szCs w:val="28"/>
      <w:lang w:val="en-GB" w:eastAsia="zh-CN"/>
    </w:rPr>
  </w:style>
  <w:style w:type="character" w:customStyle="1" w:styleId="CommentTextChar">
    <w:name w:val="Comment Text Char"/>
    <w:basedOn w:val="DefaultParagraphFont"/>
    <w:link w:val="CommentText"/>
    <w:semiHidden/>
    <w:rsid w:val="00295F0B"/>
    <w:rPr>
      <w:rFonts w:ascii="Arial" w:hAnsi="Arial"/>
      <w:lang w:val="en-GB" w:eastAsia="zh-CN"/>
    </w:rPr>
  </w:style>
  <w:style w:type="character" w:customStyle="1" w:styleId="IvDbodytextChar">
    <w:name w:val="IvD bodytext Char"/>
    <w:basedOn w:val="BodyTextChar"/>
    <w:link w:val="IvDbodytext"/>
    <w:locked/>
    <w:rsid w:val="00295F0B"/>
    <w:rPr>
      <w:rFonts w:ascii="Arial" w:hAnsi="Arial" w:cs="Arial"/>
      <w:spacing w:val="2"/>
      <w:sz w:val="22"/>
      <w:lang w:val="en-GB" w:eastAsia="zh-CN"/>
    </w:rPr>
  </w:style>
  <w:style w:type="paragraph" w:customStyle="1" w:styleId="IvDbodytext">
    <w:name w:val="IvD bodytext"/>
    <w:basedOn w:val="BodyText"/>
    <w:link w:val="IvDbodytextChar"/>
    <w:qFormat/>
    <w:rsid w:val="00295F0B"/>
    <w:pPr>
      <w:keepLines/>
      <w:tabs>
        <w:tab w:val="left" w:pos="2552"/>
        <w:tab w:val="left" w:pos="3856"/>
        <w:tab w:val="left" w:pos="5216"/>
        <w:tab w:val="left" w:pos="6464"/>
        <w:tab w:val="left" w:pos="7768"/>
        <w:tab w:val="left" w:pos="9072"/>
        <w:tab w:val="left" w:pos="9639"/>
      </w:tabs>
      <w:spacing w:before="240" w:after="0"/>
    </w:pPr>
    <w:rPr>
      <w:rFonts w:cs="Arial"/>
      <w:spacing w:val="2"/>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303157">
      <w:bodyDiv w:val="1"/>
      <w:marLeft w:val="0"/>
      <w:marRight w:val="0"/>
      <w:marTop w:val="0"/>
      <w:marBottom w:val="0"/>
      <w:divBdr>
        <w:top w:val="none" w:sz="0" w:space="0" w:color="auto"/>
        <w:left w:val="none" w:sz="0" w:space="0" w:color="auto"/>
        <w:bottom w:val="none" w:sz="0" w:space="0" w:color="auto"/>
        <w:right w:val="none" w:sz="0" w:space="0" w:color="auto"/>
      </w:divBdr>
    </w:div>
    <w:div w:id="757482040">
      <w:bodyDiv w:val="1"/>
      <w:marLeft w:val="0"/>
      <w:marRight w:val="0"/>
      <w:marTop w:val="0"/>
      <w:marBottom w:val="0"/>
      <w:divBdr>
        <w:top w:val="none" w:sz="0" w:space="0" w:color="auto"/>
        <w:left w:val="none" w:sz="0" w:space="0" w:color="auto"/>
        <w:bottom w:val="none" w:sz="0" w:space="0" w:color="auto"/>
        <w:right w:val="none" w:sz="0" w:space="0" w:color="auto"/>
      </w:divBdr>
    </w:div>
    <w:div w:id="108865112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04034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2248</Words>
  <Characters>11920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2017-09-28T23:30:00Z</dcterms:created>
  <dcterms:modified xsi:type="dcterms:W3CDTF">2017-09-28T23:30:00Z</dcterms:modified>
</cp:coreProperties>
</file>